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F" w:rsidRDefault="004174A8" w:rsidP="00863B42">
      <w:pPr>
        <w:pStyle w:val="NormalnyWeb"/>
        <w:spacing w:before="0" w:beforeAutospacing="0" w:after="0" w:afterAutospacing="0"/>
        <w:jc w:val="center"/>
        <w:rPr>
          <w:b/>
        </w:rPr>
      </w:pPr>
      <w:r w:rsidRPr="00E5687F">
        <w:rPr>
          <w:b/>
        </w:rPr>
        <w:t xml:space="preserve">UDZIELENIE BONIFIKAT </w:t>
      </w:r>
    </w:p>
    <w:p w:rsidR="00E5687F" w:rsidRDefault="004174A8" w:rsidP="00863B42">
      <w:pPr>
        <w:pStyle w:val="NormalnyWeb"/>
        <w:spacing w:before="0" w:beforeAutospacing="0" w:after="0" w:afterAutospacing="0"/>
        <w:jc w:val="center"/>
        <w:rPr>
          <w:b/>
        </w:rPr>
      </w:pPr>
      <w:r w:rsidRPr="00E5687F">
        <w:rPr>
          <w:b/>
        </w:rPr>
        <w:t>PRZY PRZEKSZTAŁCENIU PRAWA UŻYTKOWANIA WIECZYSTEGO</w:t>
      </w:r>
    </w:p>
    <w:p w:rsidR="00863B42" w:rsidRPr="00E5687F" w:rsidRDefault="004174A8" w:rsidP="00863B42">
      <w:pPr>
        <w:pStyle w:val="NormalnyWeb"/>
        <w:spacing w:before="0" w:beforeAutospacing="0" w:after="0" w:afterAutospacing="0"/>
        <w:jc w:val="center"/>
        <w:rPr>
          <w:b/>
        </w:rPr>
      </w:pPr>
      <w:r w:rsidRPr="00E5687F">
        <w:rPr>
          <w:b/>
        </w:rPr>
        <w:t>W PRAWO WŁASNOŚCI NIERUCHOMOŚCI</w:t>
      </w:r>
    </w:p>
    <w:p w:rsidR="00863B42" w:rsidRDefault="00863B42" w:rsidP="00863B42">
      <w:pPr>
        <w:pStyle w:val="NormalnyWeb"/>
        <w:spacing w:before="0" w:beforeAutospacing="0" w:after="0" w:afterAutospacing="0"/>
        <w:jc w:val="both"/>
      </w:pPr>
    </w:p>
    <w:p w:rsidR="00FC2F64" w:rsidRPr="003C563D" w:rsidRDefault="00FC2F64" w:rsidP="00863B42">
      <w:pPr>
        <w:pStyle w:val="NormalnyWeb"/>
        <w:spacing w:before="0" w:beforeAutospacing="0" w:after="0" w:afterAutospacing="0"/>
        <w:jc w:val="both"/>
      </w:pPr>
      <w:r w:rsidRPr="003C563D">
        <w:t>Przekształcenie prawa użytkowania wieczystego w prawo własności nieruchomości może nastąpić w oparciu o:</w:t>
      </w:r>
    </w:p>
    <w:p w:rsidR="003C563D" w:rsidRPr="003C563D" w:rsidRDefault="003C563D" w:rsidP="00863B4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3C563D">
        <w:t>ustawę z dnia 29 lipca 2005 r. o przekształceniu prawa użytkowania wieczystego w prawo własności nieruchomości (</w:t>
      </w:r>
      <w:proofErr w:type="spellStart"/>
      <w:r w:rsidRPr="003C563D">
        <w:t>t.j</w:t>
      </w:r>
      <w:proofErr w:type="spellEnd"/>
      <w:r w:rsidRPr="003C563D">
        <w:t xml:space="preserve">. Dz. U. z 2012 r. poz. 83 z </w:t>
      </w:r>
      <w:proofErr w:type="spellStart"/>
      <w:r w:rsidRPr="003C563D">
        <w:t>późn</w:t>
      </w:r>
      <w:proofErr w:type="spellEnd"/>
      <w:r w:rsidRPr="003C563D">
        <w:t>. zm.).</w:t>
      </w:r>
    </w:p>
    <w:p w:rsidR="003C563D" w:rsidRPr="003C563D" w:rsidRDefault="003C563D" w:rsidP="00863B4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3C563D">
        <w:t>ustawę z dnia 20 lipca 2018 r. o przekształceniu prawa użytkowania wieczystego gruntów zabudowanych na cele mieszkaniowe w prawo własności tych gruntów (Dz. U. poz. 1716).</w:t>
      </w:r>
    </w:p>
    <w:p w:rsidR="00AD01E5" w:rsidRDefault="00AD01E5" w:rsidP="00863B42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863B42" w:rsidRDefault="00863B42" w:rsidP="00863B42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AD01E5" w:rsidRPr="00AD01E5" w:rsidRDefault="00AD01E5" w:rsidP="00863B42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AD01E5">
        <w:rPr>
          <w:rFonts w:eastAsia="Times New Roman"/>
          <w:b/>
          <w:lang w:eastAsia="pl-PL"/>
        </w:rPr>
        <w:t xml:space="preserve">Ustawa </w:t>
      </w:r>
      <w:r w:rsidRPr="00A05242">
        <w:rPr>
          <w:rFonts w:eastAsia="Times New Roman"/>
          <w:b/>
          <w:lang w:eastAsia="pl-PL"/>
        </w:rPr>
        <w:t>z dnia 29 lipca 2005 r.</w:t>
      </w:r>
      <w:r w:rsidRPr="00AD01E5">
        <w:rPr>
          <w:rFonts w:eastAsia="Times New Roman"/>
          <w:b/>
          <w:lang w:eastAsia="pl-PL"/>
        </w:rPr>
        <w:t xml:space="preserve"> </w:t>
      </w:r>
      <w:r w:rsidRPr="00A05242">
        <w:rPr>
          <w:rFonts w:eastAsia="Times New Roman"/>
          <w:b/>
          <w:lang w:eastAsia="pl-PL"/>
        </w:rPr>
        <w:t>o przekształceniu prawa użytkowania wieczystego w prawo własności nieruchomości</w:t>
      </w:r>
      <w:r w:rsidRPr="00AD01E5">
        <w:rPr>
          <w:rFonts w:eastAsia="Times New Roman"/>
          <w:b/>
          <w:lang w:eastAsia="pl-PL"/>
        </w:rPr>
        <w:t>.</w:t>
      </w:r>
    </w:p>
    <w:p w:rsidR="00AD01E5" w:rsidRPr="00A05242" w:rsidRDefault="00AD01E5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AD01E5" w:rsidRPr="00FC2F64" w:rsidRDefault="00AD01E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Obejmuje ona o</w:t>
      </w:r>
      <w:r w:rsidRPr="00A05242">
        <w:rPr>
          <w:rFonts w:eastAsia="Times New Roman"/>
          <w:lang w:eastAsia="pl-PL"/>
        </w:rPr>
        <w:t>soby fizyczne będące w dniu 13 października 2005 r. użytkownikami wieczystymi nieruchomości zabudowanych na cele mieszkaniowe lub zabudowanych garażami albo przeznaczonych pod zabudowę na cele mieszkaniowe lub pod zabudowę garażami oraz nieruchomości rolnych</w:t>
      </w:r>
      <w:r w:rsidRPr="00FC2F64">
        <w:rPr>
          <w:rFonts w:eastAsia="Times New Roman"/>
          <w:lang w:eastAsia="pl-PL"/>
        </w:rPr>
        <w:t>.</w:t>
      </w:r>
    </w:p>
    <w:p w:rsidR="00182D34" w:rsidRDefault="00182D34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AD01E5" w:rsidRPr="00A05242" w:rsidRDefault="00AD01E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W tym przypadku przekształcenie następuje na wniosek użytkownika i wydawana jest d</w:t>
      </w:r>
      <w:r w:rsidRPr="00A05242">
        <w:rPr>
          <w:rFonts w:eastAsia="Times New Roman"/>
          <w:lang w:eastAsia="pl-PL"/>
        </w:rPr>
        <w:t>ecyzj</w:t>
      </w:r>
      <w:r w:rsidRPr="00FC2F64">
        <w:rPr>
          <w:rFonts w:eastAsia="Times New Roman"/>
          <w:lang w:eastAsia="pl-PL"/>
        </w:rPr>
        <w:t>a</w:t>
      </w:r>
      <w:r w:rsidR="00914DD9">
        <w:rPr>
          <w:rFonts w:eastAsia="Times New Roman"/>
          <w:lang w:eastAsia="pl-PL"/>
        </w:rPr>
        <w:br/>
      </w:r>
      <w:r w:rsidRPr="00A05242">
        <w:rPr>
          <w:rFonts w:eastAsia="Times New Roman"/>
          <w:lang w:eastAsia="pl-PL"/>
        </w:rPr>
        <w:t>o przekształceniu prawa użytkowania wieczystego w prawo własności nieruchomości</w:t>
      </w:r>
      <w:r w:rsidRPr="00FC2F64">
        <w:rPr>
          <w:rFonts w:eastAsia="Times New Roman"/>
          <w:lang w:eastAsia="pl-PL"/>
        </w:rPr>
        <w:t>. Za wydanie decyzji użytkownik uiszcza o</w:t>
      </w:r>
      <w:r w:rsidRPr="00FC2F64">
        <w:t xml:space="preserve">płatę skarbową w wysokości 10 zł. </w:t>
      </w:r>
      <w:r w:rsidRPr="00A05242">
        <w:rPr>
          <w:rFonts w:eastAsia="Times New Roman"/>
          <w:lang w:eastAsia="pl-PL"/>
        </w:rPr>
        <w:t>Prawo użytkowania wieczystego przekształca się w prawo własności nieruchomości z dniem, w którym decyzja stała się ostateczna. Decyzja ta stanowi podstawę wpisu do księgi wieczystej</w:t>
      </w:r>
      <w:r w:rsidRPr="00FC2F64">
        <w:rPr>
          <w:rFonts w:eastAsia="Times New Roman"/>
          <w:lang w:eastAsia="pl-PL"/>
        </w:rPr>
        <w:t xml:space="preserve"> i podlega opłacie.</w:t>
      </w:r>
    </w:p>
    <w:p w:rsidR="00AD01E5" w:rsidRPr="00A05242" w:rsidRDefault="00AD01E5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AD01E5" w:rsidRPr="00F5060C" w:rsidRDefault="00AD01E5" w:rsidP="00863B42">
      <w:pPr>
        <w:spacing w:after="0" w:line="240" w:lineRule="auto"/>
        <w:jc w:val="both"/>
      </w:pPr>
      <w:r w:rsidRPr="00F5060C">
        <w:t>Osoba, na rzecz której zostało przekształcone prawo użytkowania wieczystego w prawo własności nieruchomości, jest obowiązana do uiszczenia opłaty z tytułu przekształcenia.</w:t>
      </w:r>
      <w:r w:rsidR="00F5060C" w:rsidRPr="00F5060C">
        <w:t xml:space="preserve"> w terminie 14 dni od dnia, w którym decyzja stanie się ostateczna</w:t>
      </w:r>
    </w:p>
    <w:p w:rsidR="00AD01E5" w:rsidRPr="00FC2F64" w:rsidRDefault="00AD01E5" w:rsidP="00863B42">
      <w:pPr>
        <w:spacing w:after="0" w:line="240" w:lineRule="auto"/>
        <w:jc w:val="both"/>
      </w:pPr>
      <w:r w:rsidRPr="00FC2F64">
        <w:t>Do ustalenia tej opłaty stosuje się odpowiednio przepisy art. 67 ust. 3a i art. 69 ustawy z dnia</w:t>
      </w:r>
      <w:r w:rsidR="00914DD9">
        <w:br/>
      </w:r>
      <w:r w:rsidRPr="00FC2F64">
        <w:t>21 sierpnia 1997 r. o gospodarce nieruchomościami.</w:t>
      </w:r>
    </w:p>
    <w:p w:rsidR="00AD01E5" w:rsidRPr="00FC2F64" w:rsidRDefault="00AD01E5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AD01E5" w:rsidRPr="00FC2F64" w:rsidRDefault="00AD01E5" w:rsidP="00863B42">
      <w:pPr>
        <w:spacing w:after="0" w:line="240" w:lineRule="auto"/>
        <w:ind w:left="708"/>
        <w:jc w:val="both"/>
        <w:rPr>
          <w:rFonts w:eastAsia="Times New Roman"/>
          <w:i/>
          <w:lang w:eastAsia="pl-PL"/>
        </w:rPr>
      </w:pPr>
      <w:r w:rsidRPr="00FC2F64">
        <w:rPr>
          <w:rStyle w:val="alb"/>
          <w:i/>
        </w:rPr>
        <w:t xml:space="preserve">Art. 67 ust. 3a.  </w:t>
      </w:r>
      <w:r w:rsidRPr="00FC2F64">
        <w:rPr>
          <w:i/>
        </w:rPr>
        <w:t>Jeżeli nieruchomość jest sprzedawana w drodze bezprzetargowej w celu realizacji roszczeń przysługujących na mocy niniejszej ustawy lub odrębnych przepisów, cenę nieruchomości ustala się w wysokości równej jej wartości.</w:t>
      </w:r>
    </w:p>
    <w:p w:rsidR="00AD01E5" w:rsidRPr="00FC2F64" w:rsidRDefault="00AD01E5" w:rsidP="00863B42">
      <w:pPr>
        <w:spacing w:after="0" w:line="240" w:lineRule="auto"/>
        <w:ind w:left="708"/>
        <w:jc w:val="both"/>
        <w:rPr>
          <w:rFonts w:eastAsia="Times New Roman"/>
          <w:i/>
          <w:lang w:eastAsia="pl-PL"/>
        </w:rPr>
      </w:pPr>
    </w:p>
    <w:p w:rsidR="00AD01E5" w:rsidRPr="002C2C9F" w:rsidRDefault="00AD01E5" w:rsidP="00863B42">
      <w:pPr>
        <w:spacing w:after="0" w:line="240" w:lineRule="auto"/>
        <w:ind w:left="708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 xml:space="preserve">Art.  69.  </w:t>
      </w:r>
      <w:r w:rsidRPr="002C2C9F">
        <w:rPr>
          <w:rFonts w:eastAsia="Times New Roman"/>
          <w:i/>
          <w:lang w:eastAsia="pl-PL"/>
        </w:rPr>
        <w:t>Na poczet ceny nieruchomości gruntowej sprzedawanej jej użytkownikowi wieczystemu zalicza się kwotę równą wartości prawa użytkowania wieczystego tej nieruchomości, określoną według stanu na dzień sprzedaży.</w:t>
      </w: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  <w:r w:rsidRPr="00FC2F64">
        <w:t>Opłatę rozkłada się, na wniosek użytkownika wieczystego, na raty, na czas nie krótszy niż 10 lat</w:t>
      </w:r>
      <w:r w:rsidR="00914DD9">
        <w:br/>
      </w:r>
      <w:r w:rsidRPr="00FC2F64">
        <w:t>i nie dłuższy niż 20 lat, chyba że wnioskodawca wystąpi o okres krótszy niż 10 lat.</w:t>
      </w:r>
    </w:p>
    <w:p w:rsidR="00AD01E5" w:rsidRPr="00FC2F64" w:rsidRDefault="00AD01E5" w:rsidP="00863B42">
      <w:pPr>
        <w:spacing w:after="0" w:line="240" w:lineRule="auto"/>
        <w:jc w:val="both"/>
      </w:pPr>
      <w:r w:rsidRPr="00FC2F64">
        <w:t>Nieuiszczona część opłaty podlega oprocentowaniu przy zastosowaniu stopy procentowej równej stopie redyskonta weksli stosowanej przez Narodowy Bank Polski (obecnie wynosi 1,75).</w:t>
      </w:r>
    </w:p>
    <w:p w:rsidR="005F5B78" w:rsidRDefault="005F5B78" w:rsidP="00863B42">
      <w:pPr>
        <w:spacing w:after="0" w:line="240" w:lineRule="auto"/>
        <w:jc w:val="both"/>
      </w:pPr>
    </w:p>
    <w:p w:rsidR="005577EA" w:rsidRDefault="005577EA" w:rsidP="00863B42">
      <w:pPr>
        <w:spacing w:after="0" w:line="240" w:lineRule="auto"/>
        <w:jc w:val="both"/>
      </w:pPr>
      <w:r>
        <w:t>Wierzytelność z tytułu opłaty podlega zabezpieczeniu hipoteką przymusową na nieruchomości objętej przekształceniem prawa użytkowania wieczystego w prawo własności.</w:t>
      </w:r>
    </w:p>
    <w:p w:rsidR="005577EA" w:rsidRDefault="005577EA" w:rsidP="00863B42">
      <w:pPr>
        <w:spacing w:after="0" w:line="240" w:lineRule="auto"/>
        <w:jc w:val="both"/>
      </w:pPr>
    </w:p>
    <w:p w:rsidR="00F15D98" w:rsidRDefault="00F15D98" w:rsidP="00863B42">
      <w:pPr>
        <w:spacing w:after="0" w:line="240" w:lineRule="auto"/>
        <w:jc w:val="both"/>
      </w:pPr>
      <w:r w:rsidRPr="00480EA9">
        <w:rPr>
          <w:rFonts w:eastAsia="Times New Roman"/>
          <w:lang w:eastAsia="pl-PL"/>
        </w:rPr>
        <w:t xml:space="preserve">Przekształcenie prawa użytkowania wieczystego w prawo własności nieruchomości następuje nieodpłatnie na rzecz </w:t>
      </w:r>
      <w:r>
        <w:rPr>
          <w:rFonts w:eastAsia="Times New Roman"/>
          <w:lang w:eastAsia="pl-PL"/>
        </w:rPr>
        <w:t xml:space="preserve">osób fizycznych </w:t>
      </w:r>
      <w:r w:rsidRPr="00480EA9">
        <w:rPr>
          <w:rFonts w:eastAsia="Times New Roman"/>
          <w:lang w:eastAsia="pl-PL"/>
        </w:rPr>
        <w:t>lub ich następców prawnych</w:t>
      </w:r>
      <w:r>
        <w:rPr>
          <w:rFonts w:eastAsia="Times New Roman"/>
          <w:lang w:eastAsia="pl-PL"/>
        </w:rPr>
        <w:t xml:space="preserve">, </w:t>
      </w:r>
      <w:r>
        <w:t>będące w dniu 13 października 2005 r. użytkownikami wieczystymi nieruchomości, jeżeli użytkowanie wieczyste uzyskały:</w:t>
      </w:r>
    </w:p>
    <w:p w:rsidR="00F15D98" w:rsidRDefault="00F15D98" w:rsidP="00863B42">
      <w:pPr>
        <w:spacing w:after="0" w:line="240" w:lineRule="auto"/>
        <w:jc w:val="both"/>
      </w:pPr>
      <w:r>
        <w:rPr>
          <w:rStyle w:val="alb"/>
        </w:rPr>
        <w:t xml:space="preserve">1) </w:t>
      </w:r>
      <w:r>
        <w:t>w zamian za wywłaszczenie lub przejęcie nieruchomości gruntowej na rzecz Skarbu Państwa na podstawie innych tytułów, przed dniem 5 grudnia 1990 r.;</w:t>
      </w:r>
    </w:p>
    <w:p w:rsidR="00F15D98" w:rsidRDefault="00F15D98" w:rsidP="00863B42">
      <w:pPr>
        <w:spacing w:after="0" w:line="240" w:lineRule="auto"/>
        <w:jc w:val="both"/>
      </w:pPr>
      <w:r>
        <w:rPr>
          <w:rStyle w:val="alb"/>
        </w:rPr>
        <w:t xml:space="preserve">2) </w:t>
      </w:r>
      <w:r>
        <w:t xml:space="preserve">na podstawie </w:t>
      </w:r>
      <w:r w:rsidRPr="004A62A2">
        <w:t>art. 7</w:t>
      </w:r>
      <w:r>
        <w:t xml:space="preserve"> dekretu z dnia 26 października 1945 r. o własności i użytkowaniu gruntów na obszarze m.st. Warszawy (Dz. U. Nr 50, poz. 279)</w:t>
      </w:r>
    </w:p>
    <w:p w:rsidR="00F15D98" w:rsidRDefault="00F15D98" w:rsidP="00863B42">
      <w:pPr>
        <w:spacing w:after="0" w:line="240" w:lineRule="auto"/>
        <w:jc w:val="both"/>
      </w:pPr>
    </w:p>
    <w:p w:rsidR="00F15D98" w:rsidRDefault="00F15D98" w:rsidP="00863B42">
      <w:pPr>
        <w:spacing w:after="0" w:line="240" w:lineRule="auto"/>
        <w:jc w:val="both"/>
      </w:pPr>
    </w:p>
    <w:p w:rsidR="00F15D98" w:rsidRDefault="00F15D98" w:rsidP="00863B42">
      <w:pPr>
        <w:spacing w:after="0" w:line="240" w:lineRule="auto"/>
        <w:jc w:val="both"/>
      </w:pPr>
    </w:p>
    <w:p w:rsidR="00F15D98" w:rsidRDefault="00F15D98" w:rsidP="00863B42">
      <w:pPr>
        <w:spacing w:after="0" w:line="240" w:lineRule="auto"/>
        <w:jc w:val="both"/>
      </w:pPr>
    </w:p>
    <w:p w:rsidR="00AD01E5" w:rsidRDefault="00AD01E5" w:rsidP="00863B42">
      <w:pPr>
        <w:spacing w:after="0" w:line="240" w:lineRule="auto"/>
        <w:jc w:val="both"/>
      </w:pPr>
      <w:r w:rsidRPr="00FC2F64">
        <w:t>W odniesieniu do nieruchomości stanowiących własność Skarbu Państwa osobom fizycznym, które prawo użytkowania wieczystego uzyskały przed dniem 5 grudnia 1990 r., oraz ich następcom prawnym udziela się, na ich wniosek, 50% bonifikaty od opłaty.</w:t>
      </w:r>
    </w:p>
    <w:p w:rsidR="000505C5" w:rsidRPr="00FC2F64" w:rsidRDefault="000505C5" w:rsidP="00863B42">
      <w:pPr>
        <w:spacing w:after="0" w:line="240" w:lineRule="auto"/>
        <w:jc w:val="both"/>
      </w:pPr>
      <w:r>
        <w:t xml:space="preserve">W odniesieniu do nieruchomości lub jej części wpisanej do rejestru zabytków </w:t>
      </w:r>
      <w:r w:rsidR="009E666B">
        <w:t xml:space="preserve">opłatę </w:t>
      </w:r>
      <w:r>
        <w:t>obniża się</w:t>
      </w:r>
      <w:r w:rsidR="009E666B">
        <w:br/>
      </w:r>
      <w:r>
        <w:t>o 50 %.</w:t>
      </w:r>
    </w:p>
    <w:p w:rsidR="005F5B78" w:rsidRDefault="005F5B78" w:rsidP="00863B42">
      <w:pPr>
        <w:spacing w:after="0" w:line="240" w:lineRule="auto"/>
        <w:jc w:val="both"/>
        <w:rPr>
          <w:rStyle w:val="alb"/>
        </w:rPr>
      </w:pPr>
    </w:p>
    <w:p w:rsidR="00AD01E5" w:rsidRPr="00FC2F64" w:rsidRDefault="00AD01E5" w:rsidP="00863B42">
      <w:pPr>
        <w:spacing w:after="0" w:line="240" w:lineRule="auto"/>
        <w:jc w:val="both"/>
      </w:pPr>
      <w:r w:rsidRPr="00FC2F64">
        <w:rPr>
          <w:rStyle w:val="alb"/>
        </w:rPr>
        <w:t xml:space="preserve">Zgodnie z art. 4 ust. 7 </w:t>
      </w:r>
      <w:r w:rsidR="009A1A35">
        <w:rPr>
          <w:rStyle w:val="alb"/>
        </w:rPr>
        <w:t xml:space="preserve">ustawy </w:t>
      </w:r>
      <w:r w:rsidRPr="00FC2F64">
        <w:rPr>
          <w:rStyle w:val="alb"/>
        </w:rPr>
        <w:t>Burmistrz</w:t>
      </w:r>
      <w:r w:rsidRPr="00FC2F64">
        <w:t xml:space="preserve"> może udzielić bonifikaty od opłaty na podstawie uchwały rady.</w:t>
      </w:r>
    </w:p>
    <w:p w:rsidR="00182D34" w:rsidRDefault="00182D34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  <w:r w:rsidRPr="00FC2F64">
        <w:t>W uchwale rady określa się w szczególności warunki udzielania bonifikat i wysokość stawek procentowych.</w:t>
      </w:r>
    </w:p>
    <w:p w:rsidR="005F5B78" w:rsidRDefault="005F5B78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  <w:r w:rsidRPr="00FC2F64">
        <w:t>Burmistrz żąda zwrotu kwoty równej udzielonej bonifikacie po jej waloryzacji, jeżeli osoba, na rzecz której zostało przekształcone prawo użytkowania wieczystego w prawo własności nieruchomości przed upływem 5 lat, licząc od dnia przekształcenia, zbyła lub wykorzystała nieruchomość na inne cele niż cele, które stanowiły podstawę udzielenia bonifikaty. Nie dotyczy to zbycia na rzecz osoby bliskiej w rozumieniu art. 4 pkt 13 ustawy z dnia 21 sierpnia 1997 r.</w:t>
      </w:r>
      <w:r w:rsidR="00914DD9">
        <w:br/>
      </w:r>
      <w:r w:rsidRPr="00FC2F64">
        <w:t>o gospodarce nieruchomościami. W szczególnie uzasadnionych przypadkach Burmistrz może odstąpić od żądania zwrotu bonifikaty, za zgodą rady.</w:t>
      </w: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DB6C2E" w:rsidRDefault="00AD01E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t xml:space="preserve">Do </w:t>
      </w:r>
      <w:r w:rsidRPr="00DB6C2E">
        <w:rPr>
          <w:rFonts w:eastAsia="Times New Roman"/>
          <w:lang w:eastAsia="pl-PL"/>
        </w:rPr>
        <w:t>31.12.2012 r.</w:t>
      </w:r>
      <w:r w:rsidRPr="00FC2F64">
        <w:rPr>
          <w:rFonts w:eastAsia="Times New Roman"/>
          <w:lang w:eastAsia="pl-PL"/>
        </w:rPr>
        <w:t xml:space="preserve"> obowiązywała uchwała nr </w:t>
      </w:r>
      <w:r w:rsidRPr="00DB6C2E">
        <w:rPr>
          <w:rFonts w:eastAsia="Times New Roman"/>
          <w:lang w:eastAsia="pl-PL"/>
        </w:rPr>
        <w:t>XIII/82/11</w:t>
      </w:r>
      <w:r w:rsidRPr="00FC2F64">
        <w:rPr>
          <w:rFonts w:eastAsia="Times New Roman"/>
          <w:lang w:eastAsia="pl-PL"/>
        </w:rPr>
        <w:t xml:space="preserve"> Rady Miejskiej </w:t>
      </w:r>
      <w:r w:rsidRPr="00FC2F64">
        <w:rPr>
          <w:rFonts w:eastAsia="Times New Roman"/>
          <w:iCs/>
          <w:lang w:eastAsia="pl-PL"/>
        </w:rPr>
        <w:t xml:space="preserve">Pniewy </w:t>
      </w:r>
      <w:r w:rsidR="00914DD9">
        <w:rPr>
          <w:rFonts w:eastAsia="Times New Roman"/>
          <w:lang w:eastAsia="pl-PL"/>
        </w:rPr>
        <w:t>z dnia</w:t>
      </w:r>
      <w:r w:rsidR="00914DD9">
        <w:rPr>
          <w:rFonts w:eastAsia="Times New Roman"/>
          <w:lang w:eastAsia="pl-PL"/>
        </w:rPr>
        <w:br/>
      </w:r>
      <w:r w:rsidRPr="00DB6C2E">
        <w:rPr>
          <w:rFonts w:eastAsia="Times New Roman"/>
          <w:lang w:eastAsia="pl-PL"/>
        </w:rPr>
        <w:t>27 października 2011 r.</w:t>
      </w:r>
      <w:r w:rsidRPr="00FC2F64">
        <w:rPr>
          <w:rFonts w:eastAsia="Times New Roman"/>
          <w:lang w:eastAsia="pl-PL"/>
        </w:rPr>
        <w:t xml:space="preserve"> </w:t>
      </w:r>
      <w:r w:rsidRPr="00DB6C2E">
        <w:rPr>
          <w:rFonts w:eastAsia="Times New Roman"/>
          <w:lang w:eastAsia="pl-PL"/>
        </w:rPr>
        <w:t>w sprawie wyrażenia zgody na udzielanie bonifikaty od opłaty z tytułu przekształcenia prawa użytkowania wieczystego w prawo własności nieruchomości</w:t>
      </w:r>
    </w:p>
    <w:p w:rsidR="00AD01E5" w:rsidRPr="00FC2F64" w:rsidRDefault="00AD01E5" w:rsidP="00863B42">
      <w:pPr>
        <w:spacing w:after="0" w:line="240" w:lineRule="auto"/>
        <w:jc w:val="both"/>
      </w:pPr>
      <w:r w:rsidRPr="00FC2F64">
        <w:t xml:space="preserve">Uchwała została podjęta po nowelizacji ustawy na skutek wyroku Trybunału Konstytucyjnego wskazującego, że art. 4 ust. 8 i 9 </w:t>
      </w:r>
      <w:r w:rsidR="009E666B">
        <w:t>ustawy</w:t>
      </w:r>
      <w:r w:rsidRPr="00FC2F64">
        <w:t xml:space="preserve"> nakładający obowiązkowe udzielenie  bonifikaty przez organ jednostki samorządu terytorialnego właściwego do wydania decyzji, jest niezg</w:t>
      </w:r>
      <w:r w:rsidR="00914DD9">
        <w:t>odny</w:t>
      </w:r>
      <w:r w:rsidR="00914DD9">
        <w:br/>
      </w:r>
      <w:r w:rsidRPr="00FC2F64">
        <w:t xml:space="preserve">z Konstytucją. Użytkownicy wieczyści utracili ustawową możliwość otrzymania bonifikaty. </w:t>
      </w:r>
    </w:p>
    <w:p w:rsidR="00AD01E5" w:rsidRPr="00FC2F64" w:rsidRDefault="00AD01E5" w:rsidP="00863B42">
      <w:pPr>
        <w:spacing w:after="0" w:line="240" w:lineRule="auto"/>
        <w:jc w:val="both"/>
      </w:pPr>
      <w:r w:rsidRPr="00FC2F64">
        <w:t xml:space="preserve">Uwzględniając społeczny aspekt sprawy została podjęta uchwała w celu umożliwienia udzielania bonifikaty przy przekształceniu użytkowania wieczystego na dotychczasowych zasadach. </w:t>
      </w:r>
      <w:r w:rsidR="00914DD9">
        <w:t>Zgodnie</w:t>
      </w:r>
      <w:r w:rsidR="00914DD9">
        <w:br/>
      </w:r>
      <w:r w:rsidRPr="00FC2F64">
        <w:t>z w/w uchwałą określonym w niej użytkownikom wieczystym przewidywało się udzielanie bonifikat na analogicznych warunkach jak przed nowelizacją ustawy, czyli:</w:t>
      </w:r>
    </w:p>
    <w:p w:rsidR="00AD01E5" w:rsidRPr="00FC2F64" w:rsidRDefault="00AD01E5" w:rsidP="00863B42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90% bonifikaty - dla osób fizycznych, których dochód miesięczny brutto, pomniejszony</w:t>
      </w:r>
      <w:r w:rsidR="00914DD9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>o potrącone od ubezpieczonych składki na ubezpieczenia emerytalne, rentowe oraz chorobowe, na jednego członka rodziny w gospodarstwie domowym osiągnięty w roku poprzedzającym rok, w którym wystąpiono z żądaniem przekształcenia prawa użytkowania wieczystego w prawo własności nieruchomości, nie przekracza przeciętnego miesięcznego wynagrodzenia w gospodarce narodowej, ogłaszanego przez Prezesa Głównego Urzędu Statystycznego za rok, w którym dochód ten został osiągnięty,</w:t>
      </w:r>
    </w:p>
    <w:p w:rsidR="00AD01E5" w:rsidRPr="00FC2F64" w:rsidRDefault="00AD01E5" w:rsidP="00863B42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50% bonifikaty - dla osób fizycznych, które prawo użytkowania wieczystego uzyskały przed dniem 5 grudnia 1990 r. oraz ich następcom prawnym.</w:t>
      </w: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  <w:r w:rsidRPr="00FC2F64">
        <w:t xml:space="preserve">Na podstawie uchwały Burmistrz udzielił </w:t>
      </w:r>
      <w:r>
        <w:t xml:space="preserve"> </w:t>
      </w:r>
      <w:r w:rsidRPr="00FC2F64">
        <w:t>4 osob</w:t>
      </w:r>
      <w:r>
        <w:t>om</w:t>
      </w:r>
      <w:r w:rsidRPr="00FC2F64">
        <w:t xml:space="preserve"> bonifikaty w wysokości 50% oraz 23 osobom bonifikaty w wysokości 90%.</w:t>
      </w: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</w:p>
    <w:p w:rsidR="00AD01E5" w:rsidRPr="00FC2F64" w:rsidRDefault="00AD01E5" w:rsidP="00863B42">
      <w:pPr>
        <w:spacing w:after="0" w:line="240" w:lineRule="auto"/>
        <w:jc w:val="both"/>
      </w:pPr>
    </w:p>
    <w:p w:rsidR="00FC2F64" w:rsidRDefault="00FC2F64" w:rsidP="00863B42">
      <w:pPr>
        <w:pStyle w:val="NormalnyWeb"/>
        <w:spacing w:before="0" w:beforeAutospacing="0" w:after="0" w:afterAutospacing="0"/>
        <w:jc w:val="both"/>
        <w:rPr>
          <w:b/>
        </w:rPr>
      </w:pPr>
    </w:p>
    <w:p w:rsidR="00FC2F64" w:rsidRDefault="00FC2F64" w:rsidP="00863B42">
      <w:pPr>
        <w:pStyle w:val="NormalnyWeb"/>
        <w:spacing w:before="0" w:beforeAutospacing="0" w:after="0" w:afterAutospacing="0"/>
        <w:jc w:val="both"/>
        <w:rPr>
          <w:b/>
        </w:rPr>
      </w:pPr>
    </w:p>
    <w:p w:rsidR="00FC2F64" w:rsidRDefault="00FC2F64" w:rsidP="00863B42">
      <w:pPr>
        <w:pStyle w:val="NormalnyWeb"/>
        <w:spacing w:before="0" w:beforeAutospacing="0" w:after="0" w:afterAutospacing="0"/>
        <w:jc w:val="both"/>
        <w:rPr>
          <w:b/>
        </w:rPr>
      </w:pPr>
    </w:p>
    <w:p w:rsidR="00FC2F64" w:rsidRDefault="00FC2F64" w:rsidP="00863B42">
      <w:pPr>
        <w:pStyle w:val="NormalnyWeb"/>
        <w:spacing w:before="0" w:beforeAutospacing="0" w:after="0" w:afterAutospacing="0"/>
        <w:jc w:val="both"/>
        <w:rPr>
          <w:b/>
        </w:rPr>
      </w:pPr>
    </w:p>
    <w:p w:rsidR="00C111FB" w:rsidRDefault="00C111FB" w:rsidP="00863B42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br w:type="page"/>
      </w:r>
    </w:p>
    <w:p w:rsidR="003F502D" w:rsidRPr="00FC2F64" w:rsidRDefault="001D322A" w:rsidP="00863B42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U</w:t>
      </w:r>
      <w:r w:rsidR="003F502D" w:rsidRPr="00FC2F64">
        <w:rPr>
          <w:b/>
        </w:rPr>
        <w:t>stawa z dnia 20 lipca 2018 r. o przekształceniu prawa użytkowania wieczystego gruntów zabudowanych na cele</w:t>
      </w:r>
      <w:r w:rsidR="004E3A50" w:rsidRPr="00FC2F64">
        <w:rPr>
          <w:b/>
        </w:rPr>
        <w:t xml:space="preserve"> </w:t>
      </w:r>
      <w:r w:rsidR="003F502D" w:rsidRPr="00FC2F64">
        <w:rPr>
          <w:b/>
        </w:rPr>
        <w:t>mieszkaniowe</w:t>
      </w:r>
      <w:r>
        <w:rPr>
          <w:b/>
        </w:rPr>
        <w:t xml:space="preserve"> w prawo własności tych gruntów</w:t>
      </w:r>
    </w:p>
    <w:p w:rsidR="001D322A" w:rsidRDefault="001D322A" w:rsidP="00863B42">
      <w:pPr>
        <w:pStyle w:val="NormalnyWeb"/>
        <w:spacing w:before="0" w:beforeAutospacing="0" w:after="0" w:afterAutospacing="0"/>
        <w:jc w:val="both"/>
        <w:rPr>
          <w:b/>
        </w:rPr>
      </w:pPr>
    </w:p>
    <w:p w:rsidR="00A64B36" w:rsidRPr="001D322A" w:rsidRDefault="001D322A" w:rsidP="00863B42">
      <w:pPr>
        <w:pStyle w:val="NormalnyWeb"/>
        <w:spacing w:before="0" w:beforeAutospacing="0" w:after="0" w:afterAutospacing="0"/>
        <w:jc w:val="both"/>
      </w:pPr>
      <w:r w:rsidRPr="001D322A">
        <w:t xml:space="preserve">Ustawa ta weszła w życie w dniu 5 października 2018 r. </w:t>
      </w:r>
    </w:p>
    <w:p w:rsidR="00FC2F64" w:rsidRPr="00FC2F64" w:rsidRDefault="00FC2F64" w:rsidP="00863B42">
      <w:pPr>
        <w:pStyle w:val="Akapitzlist"/>
        <w:spacing w:after="0" w:line="240" w:lineRule="auto"/>
        <w:contextualSpacing w:val="0"/>
        <w:jc w:val="both"/>
        <w:rPr>
          <w:rFonts w:eastAsia="Times New Roman"/>
          <w:b/>
          <w:lang w:eastAsia="pl-PL"/>
        </w:rPr>
      </w:pPr>
    </w:p>
    <w:p w:rsidR="00755609" w:rsidRPr="00863B42" w:rsidRDefault="009253C8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863B42">
        <w:rPr>
          <w:rFonts w:eastAsia="Times New Roman"/>
          <w:lang w:eastAsia="pl-PL"/>
        </w:rPr>
        <w:t>Zgodnie z a</w:t>
      </w:r>
      <w:r w:rsidR="00755609" w:rsidRPr="00863B42">
        <w:rPr>
          <w:rFonts w:eastAsia="Times New Roman"/>
          <w:lang w:eastAsia="pl-PL"/>
        </w:rPr>
        <w:t>rt.</w:t>
      </w:r>
      <w:r w:rsidR="00642509" w:rsidRPr="00863B42">
        <w:rPr>
          <w:rFonts w:eastAsia="Times New Roman"/>
          <w:lang w:eastAsia="pl-PL"/>
        </w:rPr>
        <w:t xml:space="preserve"> </w:t>
      </w:r>
      <w:r w:rsidR="00755609" w:rsidRPr="00863B42">
        <w:rPr>
          <w:rFonts w:eastAsia="Times New Roman"/>
          <w:lang w:eastAsia="pl-PL"/>
        </w:rPr>
        <w:t>1.</w:t>
      </w:r>
      <w:r w:rsidRPr="00863B42">
        <w:rPr>
          <w:rFonts w:eastAsia="Times New Roman"/>
          <w:lang w:eastAsia="pl-PL"/>
        </w:rPr>
        <w:t xml:space="preserve"> ustawy z</w:t>
      </w:r>
      <w:r w:rsidR="00755609" w:rsidRPr="00863B42">
        <w:rPr>
          <w:rFonts w:eastAsia="Times New Roman"/>
          <w:lang w:eastAsia="pl-PL"/>
        </w:rPr>
        <w:t xml:space="preserve"> dniem 1 stycznia 2019 r. prawo użytkowania wieczystego gruntów zabudowanych na cele mieszkaniowe przekształca się w prawo własności tych gruntów.</w:t>
      </w:r>
    </w:p>
    <w:p w:rsidR="009253C8" w:rsidRPr="00FC2F64" w:rsidRDefault="009253C8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755609" w:rsidRPr="00FC2F64" w:rsidRDefault="00755609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Przez grunty zabudowane na cele mieszkaniowe należy rozumieć nieruchomości zabudowane wyłącznie budynkami:</w:t>
      </w:r>
    </w:p>
    <w:p w:rsidR="00755609" w:rsidRPr="00FC2F64" w:rsidRDefault="00755609" w:rsidP="00863B4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mieszkalnymi jednorodzinnymi lub</w:t>
      </w:r>
    </w:p>
    <w:p w:rsidR="00755609" w:rsidRPr="00FC2F64" w:rsidRDefault="00755609" w:rsidP="00863B4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mieszkalnymi wielorodzinnymi, w których co najmniej połowę liczby lokali stanowią lokale mieszkalne, lub</w:t>
      </w:r>
    </w:p>
    <w:p w:rsidR="00755609" w:rsidRPr="00FC2F64" w:rsidRDefault="00755609" w:rsidP="00863B4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 których mowa w pkt 1 lub 2, wraz z budynkami gospodarczymi, garażami, innymi obiektami budowlanymi lub urządzeniami budowlanymi, umożliwiającymi prawidłowe i racjonalne korzystanie z budynków mieszkalnych.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E969BA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Podstawę ujawnienia prawa własności gruntu w księdze wieczystej oraz ewidencji gruntów</w:t>
      </w:r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 xml:space="preserve">i budynków stanowi </w:t>
      </w:r>
      <w:r w:rsidRPr="00863B42">
        <w:rPr>
          <w:rFonts w:eastAsia="Times New Roman"/>
          <w:lang w:eastAsia="pl-PL"/>
        </w:rPr>
        <w:t xml:space="preserve">zaświadczenie </w:t>
      </w:r>
      <w:r w:rsidRPr="00FC2F64">
        <w:rPr>
          <w:rFonts w:eastAsia="Times New Roman"/>
          <w:lang w:eastAsia="pl-PL"/>
        </w:rPr>
        <w:t>potwierdzające przekształcenie</w:t>
      </w:r>
      <w:r w:rsidR="00E969BA" w:rsidRPr="00FC2F64">
        <w:rPr>
          <w:rFonts w:eastAsia="Times New Roman"/>
          <w:lang w:eastAsia="pl-PL"/>
        </w:rPr>
        <w:t xml:space="preserve"> </w:t>
      </w:r>
      <w:r w:rsidRPr="00FC2F64">
        <w:rPr>
          <w:rFonts w:eastAsia="Times New Roman"/>
          <w:lang w:eastAsia="pl-PL"/>
        </w:rPr>
        <w:t>wydawane przez</w:t>
      </w:r>
      <w:r w:rsidR="009253C8" w:rsidRPr="00FC2F64">
        <w:rPr>
          <w:rFonts w:eastAsia="Times New Roman"/>
          <w:lang w:eastAsia="pl-PL"/>
        </w:rPr>
        <w:t xml:space="preserve"> </w:t>
      </w:r>
      <w:r w:rsidR="00CC410D">
        <w:rPr>
          <w:rFonts w:eastAsia="Times New Roman"/>
          <w:lang w:eastAsia="pl-PL"/>
        </w:rPr>
        <w:t>B</w:t>
      </w:r>
      <w:r w:rsidRPr="00FC2F64">
        <w:rPr>
          <w:rFonts w:eastAsia="Times New Roman"/>
          <w:lang w:eastAsia="pl-PL"/>
        </w:rPr>
        <w:t>urmistrza</w:t>
      </w:r>
      <w:r w:rsidR="00E969BA" w:rsidRPr="00FC2F64">
        <w:rPr>
          <w:rFonts w:eastAsia="Times New Roman"/>
          <w:lang w:eastAsia="pl-PL"/>
        </w:rPr>
        <w:t>.</w:t>
      </w:r>
    </w:p>
    <w:p w:rsidR="009253C8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 </w:t>
      </w:r>
    </w:p>
    <w:p w:rsidR="0018571E" w:rsidRPr="00FC2F64" w:rsidRDefault="00A64B36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Z</w:t>
      </w:r>
      <w:r w:rsidR="00A427C4" w:rsidRPr="00FC2F64">
        <w:rPr>
          <w:rFonts w:eastAsia="Times New Roman"/>
          <w:lang w:eastAsia="pl-PL"/>
        </w:rPr>
        <w:t xml:space="preserve">aświadczenie </w:t>
      </w:r>
      <w:r w:rsidRPr="00FC2F64">
        <w:rPr>
          <w:rFonts w:eastAsia="Times New Roman"/>
          <w:lang w:eastAsia="pl-PL"/>
        </w:rPr>
        <w:t xml:space="preserve">wydawane jest </w:t>
      </w:r>
      <w:r w:rsidR="00A427C4" w:rsidRPr="00FC2F64">
        <w:rPr>
          <w:rFonts w:eastAsia="Times New Roman"/>
          <w:lang w:eastAsia="pl-PL"/>
        </w:rPr>
        <w:t>z urzędu nie później niż w terminie 12 miesięcy od dnia przekształcenia albo na wniosek właściciela w terminie 4 miesięcy od dnia otrzymania wniosku</w:t>
      </w:r>
      <w:r w:rsidR="007C5EB0" w:rsidRPr="00FC2F64">
        <w:rPr>
          <w:rFonts w:eastAsia="Times New Roman"/>
          <w:lang w:eastAsia="pl-PL"/>
        </w:rPr>
        <w:t>,</w:t>
      </w:r>
      <w:r w:rsidR="004A4CE2">
        <w:rPr>
          <w:rFonts w:eastAsia="Times New Roman"/>
          <w:lang w:eastAsia="pl-PL"/>
        </w:rPr>
        <w:br/>
      </w:r>
      <w:r w:rsidR="007C5EB0" w:rsidRPr="00FC2F64">
        <w:rPr>
          <w:rFonts w:eastAsia="Times New Roman"/>
          <w:lang w:eastAsia="pl-PL"/>
        </w:rPr>
        <w:t>a następnie przekaz</w:t>
      </w:r>
      <w:r w:rsidRPr="00FC2F64">
        <w:rPr>
          <w:rFonts w:eastAsia="Times New Roman"/>
          <w:lang w:eastAsia="pl-PL"/>
        </w:rPr>
        <w:t>ywane jest</w:t>
      </w:r>
      <w:r w:rsidR="007C5EB0" w:rsidRPr="00FC2F64">
        <w:rPr>
          <w:rFonts w:eastAsia="Times New Roman"/>
          <w:lang w:eastAsia="pl-PL"/>
        </w:rPr>
        <w:t xml:space="preserve"> do właściwego sądu w terminie 14 dni od dnia jego wydania.</w:t>
      </w:r>
    </w:p>
    <w:p w:rsidR="007C5EB0" w:rsidRPr="00FC2F64" w:rsidRDefault="007C5EB0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8571E" w:rsidRPr="00FC2F64" w:rsidRDefault="00E969BA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W przypadku wystąpienia przez użytkownika wieczystego z wnioskiem o wydanie zaświadczenia pobierana jest opłata skarbowa w wysokości 50 zł</w:t>
      </w:r>
      <w:r w:rsidR="005F5B78">
        <w:rPr>
          <w:rFonts w:eastAsia="Times New Roman"/>
          <w:lang w:eastAsia="pl-PL"/>
        </w:rPr>
        <w:t>.</w:t>
      </w:r>
    </w:p>
    <w:p w:rsidR="0018571E" w:rsidRPr="00FC2F64" w:rsidRDefault="0018571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8571E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Zaświadczenie zawiera oznaczenie nieruchomości gruntowej lub lokalowej, według ewidencji gruntów i budynków oraz ksiąg wieczystych prowadzonych dla tych nieruchomości. </w:t>
      </w:r>
    </w:p>
    <w:p w:rsidR="0018571E" w:rsidRPr="00FC2F64" w:rsidRDefault="0018571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8571E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W zaświadczeniu potwierdza się przekształcenie oraz informuje o obowiązku wnoszenia rocznej opłaty </w:t>
      </w:r>
      <w:proofErr w:type="spellStart"/>
      <w:r w:rsidRPr="00FC2F64">
        <w:rPr>
          <w:rFonts w:eastAsia="Times New Roman"/>
          <w:lang w:eastAsia="pl-PL"/>
        </w:rPr>
        <w:t>przekształceniowej</w:t>
      </w:r>
      <w:proofErr w:type="spellEnd"/>
      <w:r w:rsidRPr="00FC2F64">
        <w:rPr>
          <w:rFonts w:eastAsia="Times New Roman"/>
          <w:lang w:eastAsia="pl-PL"/>
        </w:rPr>
        <w:t>, wysokości i okresie wnoszenia tej opłaty, a także możliwości wniesienia opłaty</w:t>
      </w:r>
      <w:r w:rsidR="0018571E" w:rsidRPr="00FC2F64">
        <w:rPr>
          <w:rFonts w:eastAsia="Times New Roman"/>
          <w:lang w:eastAsia="pl-PL"/>
        </w:rPr>
        <w:t xml:space="preserve"> jednorazowej </w:t>
      </w:r>
      <w:r w:rsidRPr="00FC2F64">
        <w:rPr>
          <w:rFonts w:eastAsia="Times New Roman"/>
          <w:lang w:eastAsia="pl-PL"/>
        </w:rPr>
        <w:t xml:space="preserve">i zasadach jej wnoszenia. </w:t>
      </w:r>
    </w:p>
    <w:p w:rsidR="007C5EB0" w:rsidRPr="00FC2F64" w:rsidRDefault="007C5EB0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A427C4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Zaświadczenie stanowi podstawę wpisu w dziale III księgi wieczystej roszczenia o opłatę,</w:t>
      </w:r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>w odniesieniu do każdoczesnego właściciela nieruchomości.</w:t>
      </w:r>
    </w:p>
    <w:p w:rsidR="0018571E" w:rsidRPr="00FC2F64" w:rsidRDefault="0018571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Sąd dokonuje z urzędu wpisu własności gruntu oraz wpisu roszczenia o opłatę w księgach wieczystych. Za dokonanie wpisów w księdze wieczystej nie uiszcza się opłat sądowych.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Z tytułu przekształcenia nowy właściciel gruntu </w:t>
      </w:r>
      <w:r w:rsidR="00652BEE" w:rsidRPr="00FC2F64">
        <w:rPr>
          <w:rFonts w:eastAsia="Times New Roman"/>
          <w:lang w:eastAsia="pl-PL"/>
        </w:rPr>
        <w:t xml:space="preserve">(dotychczasowy użytkownik wieczysty) </w:t>
      </w:r>
      <w:r w:rsidRPr="00FC2F64">
        <w:rPr>
          <w:rFonts w:eastAsia="Times New Roman"/>
          <w:lang w:eastAsia="pl-PL"/>
        </w:rPr>
        <w:t>ponosi na rzecz dotychczasowego właściciela gruntu</w:t>
      </w:r>
      <w:r w:rsidR="00766925" w:rsidRPr="00FC2F64">
        <w:rPr>
          <w:rFonts w:eastAsia="Times New Roman"/>
          <w:lang w:eastAsia="pl-PL"/>
        </w:rPr>
        <w:t xml:space="preserve"> (gminy)</w:t>
      </w:r>
      <w:r w:rsidRPr="00FC2F64">
        <w:rPr>
          <w:rFonts w:eastAsia="Times New Roman"/>
          <w:lang w:eastAsia="pl-PL"/>
        </w:rPr>
        <w:t xml:space="preserve"> </w:t>
      </w:r>
      <w:r w:rsidRPr="00480EA9">
        <w:rPr>
          <w:rFonts w:eastAsia="Times New Roman"/>
          <w:lang w:eastAsia="pl-PL"/>
        </w:rPr>
        <w:t>opłatę.</w:t>
      </w:r>
      <w:r w:rsidR="007C5EB0" w:rsidRPr="00FC2F64">
        <w:rPr>
          <w:rFonts w:eastAsia="Times New Roman"/>
          <w:lang w:eastAsia="pl-PL"/>
        </w:rPr>
        <w:t xml:space="preserve"> </w:t>
      </w:r>
      <w:r w:rsidRPr="00FC2F64">
        <w:rPr>
          <w:rFonts w:eastAsia="Times New Roman"/>
          <w:lang w:eastAsia="pl-PL"/>
        </w:rPr>
        <w:t>Wysokość opłaty jest równa wysokości opłaty rocznej z tytułu użytkowania wieczystego, która obowiązywałaby w dniu przekształcenia.</w:t>
      </w:r>
    </w:p>
    <w:p w:rsidR="007C5EB0" w:rsidRPr="00FC2F64" w:rsidRDefault="007C5EB0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496063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Opłatę wnosi się w terminie do dnia 31 marca każdego roku. Na wniosek złożony nie później niż 14 dni przed dniem upływu terminu płatności </w:t>
      </w:r>
      <w:r w:rsidR="00496063" w:rsidRPr="00FC2F64">
        <w:rPr>
          <w:rFonts w:eastAsia="Times New Roman"/>
          <w:lang w:eastAsia="pl-PL"/>
        </w:rPr>
        <w:t xml:space="preserve">Burmistrz </w:t>
      </w:r>
      <w:r w:rsidRPr="00FC2F64">
        <w:rPr>
          <w:rFonts w:eastAsia="Times New Roman"/>
          <w:lang w:eastAsia="pl-PL"/>
        </w:rPr>
        <w:t xml:space="preserve"> może rozłożyć opłatę na raty lub ustalić inny termin jej wniesienia, nieprzekraczający danego roku kalendarzowego.</w:t>
      </w:r>
    </w:p>
    <w:p w:rsidR="006347D4" w:rsidRDefault="006347D4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642509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Opłata jest wnoszona przez okres 20 lat, licząc od dnia przekształcenia.</w:t>
      </w:r>
      <w:r w:rsidR="006347D4">
        <w:rPr>
          <w:rFonts w:eastAsia="Times New Roman"/>
          <w:lang w:eastAsia="pl-PL"/>
        </w:rPr>
        <w:t xml:space="preserve"> </w:t>
      </w:r>
      <w:r w:rsidR="00642509" w:rsidRPr="00FC2F64">
        <w:rPr>
          <w:rFonts w:eastAsia="Times New Roman"/>
          <w:lang w:eastAsia="pl-PL"/>
        </w:rPr>
        <w:t>Opłatę należną za rok 2019 wnosi się w terminie do dnia 29 lutego 2020 r.</w:t>
      </w:r>
    </w:p>
    <w:p w:rsidR="00496063" w:rsidRPr="00FC2F64" w:rsidRDefault="00496063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Właściciel gruntu w każdym czasie trwania obowiązku wnoszenia opłaty może zgłosić na piśmie zamiar jednorazowego jej wniesienia w kwocie pozostającej do spłaty (opłata jednorazowa). Wysokość opłaty jednorazowej odpowiada iloczynowi wysokości opłaty obowiązującej w roku,</w:t>
      </w:r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 xml:space="preserve">w którym zgłoszono zamiar wniesienia opłaty jednorazowej, oraz liczby lat pozostałych do upływu </w:t>
      </w:r>
      <w:r w:rsidR="00496063" w:rsidRPr="00FC2F64">
        <w:rPr>
          <w:rFonts w:eastAsia="Times New Roman"/>
          <w:lang w:eastAsia="pl-PL"/>
        </w:rPr>
        <w:t xml:space="preserve">20 letniego </w:t>
      </w:r>
      <w:r w:rsidRPr="00FC2F64">
        <w:rPr>
          <w:rFonts w:eastAsia="Times New Roman"/>
          <w:lang w:eastAsia="pl-PL"/>
        </w:rPr>
        <w:t>okresu</w:t>
      </w:r>
      <w:r w:rsidR="00496063" w:rsidRPr="00FC2F64">
        <w:rPr>
          <w:rFonts w:eastAsia="Times New Roman"/>
          <w:lang w:eastAsia="pl-PL"/>
        </w:rPr>
        <w:t>.</w:t>
      </w:r>
    </w:p>
    <w:p w:rsidR="00496063" w:rsidRPr="00FC2F64" w:rsidRDefault="00496063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Po wniesieniu wszystkich opłat albo opłaty jednorazowej wyda</w:t>
      </w:r>
      <w:r w:rsidR="00766925" w:rsidRPr="00FC2F64">
        <w:rPr>
          <w:rFonts w:eastAsia="Times New Roman"/>
          <w:lang w:eastAsia="pl-PL"/>
        </w:rPr>
        <w:t xml:space="preserve">wane jest </w:t>
      </w:r>
      <w:r w:rsidRPr="00FC2F64">
        <w:rPr>
          <w:rFonts w:eastAsia="Times New Roman"/>
          <w:lang w:eastAsia="pl-PL"/>
        </w:rPr>
        <w:t>z urzędu, w terminie 30 dni od dnia wniesienia opłat albo opłaty jednorazowej, zaświadczenie o wniesieniu opłat albo opłaty jednorazowej, które właściciel gruntu załącza do wniosku o wykreślenie w dziale III księgi wieczystej wpisu roszczenia o opłatę.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Od wniosku o wykreślenie wpisu pobiera się opłatę stałą w wysokości:</w:t>
      </w:r>
    </w:p>
    <w:p w:rsidR="00FE207C" w:rsidRPr="006347D4" w:rsidRDefault="00FE207C" w:rsidP="006347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pl-PL"/>
        </w:rPr>
      </w:pPr>
      <w:r w:rsidRPr="006347D4">
        <w:rPr>
          <w:rFonts w:eastAsia="Times New Roman"/>
          <w:lang w:eastAsia="pl-PL"/>
        </w:rPr>
        <w:t>250 zł - w przypadku wniesienia opłaty jednorazowej;</w:t>
      </w:r>
    </w:p>
    <w:p w:rsidR="00FE207C" w:rsidRPr="006347D4" w:rsidRDefault="00FE207C" w:rsidP="006347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pl-PL"/>
        </w:rPr>
      </w:pPr>
      <w:r w:rsidRPr="006347D4">
        <w:rPr>
          <w:rFonts w:eastAsia="Times New Roman"/>
          <w:lang w:eastAsia="pl-PL"/>
        </w:rPr>
        <w:t>75 zł - w pozostałych przypadkach.</w:t>
      </w:r>
    </w:p>
    <w:p w:rsidR="0062290E" w:rsidRPr="00FC2F64" w:rsidRDefault="0062290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Za przekształcenie opłaty nie wnoszą osoby fizyczne lub ich spadkobiercy w przypadku gdy</w:t>
      </w:r>
      <w:r w:rsidR="00652BEE" w:rsidRPr="00FC2F64">
        <w:rPr>
          <w:rFonts w:eastAsia="Times New Roman"/>
          <w:lang w:eastAsia="pl-PL"/>
        </w:rPr>
        <w:t xml:space="preserve"> </w:t>
      </w:r>
      <w:r w:rsidRPr="00FC2F64">
        <w:rPr>
          <w:rFonts w:eastAsia="Times New Roman"/>
          <w:lang w:eastAsia="pl-PL"/>
        </w:rPr>
        <w:t>wniosły jednorazowo opłaty roczne za cały okres użytkowania wieczystego</w:t>
      </w:r>
      <w:r w:rsidR="008D583E" w:rsidRPr="00FC2F64">
        <w:rPr>
          <w:rFonts w:eastAsia="Times New Roman"/>
          <w:lang w:eastAsia="pl-PL"/>
        </w:rPr>
        <w:t>.</w:t>
      </w:r>
    </w:p>
    <w:p w:rsidR="00A61A8F" w:rsidRPr="00FC2F64" w:rsidRDefault="00A61A8F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B35D2" w:rsidRPr="00FC2F64" w:rsidRDefault="002B35D2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Zgodnie z art. 9 ustawy </w:t>
      </w:r>
      <w:r w:rsidR="004E3F59" w:rsidRPr="00FC2F64">
        <w:rPr>
          <w:rFonts w:eastAsia="Times New Roman"/>
          <w:lang w:eastAsia="pl-PL"/>
        </w:rPr>
        <w:t>Burmistrz</w:t>
      </w:r>
      <w:r w:rsidR="00FE207C" w:rsidRPr="00FC2F64">
        <w:rPr>
          <w:rFonts w:eastAsia="Times New Roman"/>
          <w:lang w:eastAsia="pl-PL"/>
        </w:rPr>
        <w:t xml:space="preserve"> może udzielić osobom fizycznym będącym właścicielami budynków mieszkalnych jednorodzinnych lub lokali mieszkalnych</w:t>
      </w:r>
      <w:r w:rsidRPr="00FC2F64">
        <w:rPr>
          <w:rFonts w:eastAsia="Times New Roman"/>
          <w:lang w:eastAsia="pl-PL"/>
        </w:rPr>
        <w:t xml:space="preserve"> bonifikaty:</w:t>
      </w:r>
    </w:p>
    <w:p w:rsidR="002B35D2" w:rsidRPr="00FC2F64" w:rsidRDefault="00FE207C" w:rsidP="00863B4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od opłaty za dany rok</w:t>
      </w:r>
      <w:r w:rsidR="002B35D2" w:rsidRPr="00FC2F64">
        <w:rPr>
          <w:rFonts w:eastAsia="Times New Roman"/>
          <w:lang w:eastAsia="pl-PL"/>
        </w:rPr>
        <w:t>,</w:t>
      </w:r>
    </w:p>
    <w:p w:rsidR="002B35D2" w:rsidRPr="00FC2F64" w:rsidRDefault="002B35D2" w:rsidP="00863B4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od opłaty jednorazowej,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 - na podstawie uchwały  rady.</w:t>
      </w:r>
    </w:p>
    <w:p w:rsidR="00496063" w:rsidRPr="00FC2F64" w:rsidRDefault="00496063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4E3F59" w:rsidRPr="00FC2F64" w:rsidRDefault="004E3F59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W uchwale określa się w szczególności warunki udzielania bonifikat i wysokość stawek procentowych.</w:t>
      </w:r>
    </w:p>
    <w:p w:rsidR="004E3F59" w:rsidRPr="00FC2F64" w:rsidRDefault="004E3F59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W przypadku gruntu stanowiącego własność Skarbu Państwa</w:t>
      </w:r>
      <w:r w:rsidR="004E3F59" w:rsidRPr="00FC2F64">
        <w:rPr>
          <w:rFonts w:eastAsia="Times New Roman"/>
          <w:lang w:eastAsia="pl-PL"/>
        </w:rPr>
        <w:t xml:space="preserve"> zgodnie z ustawą </w:t>
      </w:r>
      <w:r w:rsidRPr="00FC2F64">
        <w:rPr>
          <w:rFonts w:eastAsia="Times New Roman"/>
          <w:lang w:eastAsia="pl-PL"/>
        </w:rPr>
        <w:t xml:space="preserve">przysługuje bonifikata od opłaty </w:t>
      </w:r>
      <w:r w:rsidR="008313D2" w:rsidRPr="00FC2F64">
        <w:rPr>
          <w:rFonts w:eastAsia="Times New Roman"/>
          <w:lang w:eastAsia="pl-PL"/>
        </w:rPr>
        <w:t xml:space="preserve">jednorazowej </w:t>
      </w:r>
      <w:r w:rsidRPr="00FC2F64">
        <w:rPr>
          <w:rFonts w:eastAsia="Times New Roman"/>
          <w:lang w:eastAsia="pl-PL"/>
        </w:rPr>
        <w:t>w wysokości: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1) 60% - w przypadku gdy opłata zostanie wniesiona w roku, w którym nastąpiło przekształcenie;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2) 50% - w przypadku gdy opłata zostanie wniesiona w drugim roku po przekształceniu;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3) 40% - w przypadku gdy opłata zostanie wniesiona w trzecim roku po przekształceniu;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4) 30% - w przypadku gdy opłata zostanie wniesiona w czwartym roku po przekształceniu;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5) 20% - w przypadku gdy opłata zostanie wniesiona w piątym roku po przekształceniu;</w:t>
      </w:r>
    </w:p>
    <w:p w:rsidR="00FE207C" w:rsidRPr="00FC2F64" w:rsidRDefault="00FE207C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6) 10% - w przypadku gdy opłata zostanie wniesiona w szóstym roku po przekształceniu.</w:t>
      </w:r>
    </w:p>
    <w:p w:rsidR="008D583E" w:rsidRPr="00FC2F64" w:rsidRDefault="008D583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A427C4" w:rsidRPr="00FC2F64" w:rsidRDefault="00A427C4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717B55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Opłata </w:t>
      </w:r>
      <w:r w:rsidR="00072007" w:rsidRPr="00FC2F64">
        <w:rPr>
          <w:rFonts w:eastAsia="Times New Roman"/>
          <w:lang w:eastAsia="pl-PL"/>
        </w:rPr>
        <w:t xml:space="preserve">roczna </w:t>
      </w:r>
      <w:r w:rsidRPr="00FC2F64">
        <w:rPr>
          <w:rFonts w:eastAsia="Times New Roman"/>
          <w:lang w:eastAsia="pl-PL"/>
        </w:rPr>
        <w:t>może podlegać waloryzacji zgodnie z zasadami, o których mowa w art. 5 ustawy</w:t>
      </w:r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>o gospodarce nieruchomościami.</w:t>
      </w:r>
    </w:p>
    <w:p w:rsidR="00072007" w:rsidRPr="00FC2F64" w:rsidRDefault="00072007" w:rsidP="006347D4">
      <w:pPr>
        <w:spacing w:after="0" w:line="240" w:lineRule="auto"/>
        <w:ind w:left="708"/>
        <w:jc w:val="both"/>
        <w:rPr>
          <w:rFonts w:eastAsia="Times New Roman"/>
          <w:lang w:eastAsia="pl-PL"/>
        </w:rPr>
      </w:pPr>
    </w:p>
    <w:p w:rsidR="00072007" w:rsidRPr="00FC2F64" w:rsidRDefault="00072007" w:rsidP="006347D4">
      <w:pPr>
        <w:spacing w:after="0" w:line="240" w:lineRule="auto"/>
        <w:ind w:left="708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 xml:space="preserve">Art. 5. </w:t>
      </w:r>
    </w:p>
    <w:p w:rsidR="00072007" w:rsidRPr="00FC2F64" w:rsidRDefault="00072007" w:rsidP="006347D4">
      <w:pPr>
        <w:pStyle w:val="Akapitzlist"/>
        <w:numPr>
          <w:ilvl w:val="0"/>
          <w:numId w:val="6"/>
        </w:numPr>
        <w:spacing w:after="0" w:line="240" w:lineRule="auto"/>
        <w:ind w:left="1083"/>
        <w:contextualSpacing w:val="0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>Waloryzacji kwot należnych z tytułów określonych w ustawie dokonuje się przy zastosowaniu wskaźników zmian cen nieruchomości dla nieruchomości sklasyfikowanych w rejestrze cen i wartości nieruchomości, z uwzględnieniem danych wynikających z ewidencji gruntów i budynków.</w:t>
      </w:r>
    </w:p>
    <w:p w:rsidR="00072007" w:rsidRPr="00FC2F64" w:rsidRDefault="00072007" w:rsidP="006347D4">
      <w:pPr>
        <w:pStyle w:val="Akapitzlist"/>
        <w:numPr>
          <w:ilvl w:val="0"/>
          <w:numId w:val="6"/>
        </w:numPr>
        <w:spacing w:after="0" w:line="240" w:lineRule="auto"/>
        <w:ind w:left="1083"/>
        <w:contextualSpacing w:val="0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>Prezes Głównego Urzędu Statystycznego ogłasza, w formie obwieszczenia, w Dzienniku Urzędowym Rzeczypospolitej Polskiej "Monitor Polski", wskaźniki zmian cen nieruchomości dla danego rodzaju nieruchomości, nie później niż w terminie 4 miesięcy od zakończenia kwartału, którego te wskaźniki dotyczą, z podziałem na województwa.</w:t>
      </w:r>
    </w:p>
    <w:p w:rsidR="00072007" w:rsidRPr="00FC2F64" w:rsidRDefault="00072007" w:rsidP="006347D4">
      <w:pPr>
        <w:pStyle w:val="Akapitzlist"/>
        <w:numPr>
          <w:ilvl w:val="0"/>
          <w:numId w:val="6"/>
        </w:numPr>
        <w:spacing w:after="0" w:line="240" w:lineRule="auto"/>
        <w:ind w:left="1083"/>
        <w:contextualSpacing w:val="0"/>
        <w:jc w:val="both"/>
        <w:rPr>
          <w:rFonts w:eastAsia="Times New Roman"/>
          <w:i/>
          <w:lang w:eastAsia="pl-PL"/>
        </w:rPr>
      </w:pPr>
      <w:r w:rsidRPr="00FC2F64">
        <w:rPr>
          <w:i/>
        </w:rPr>
        <w:t>W przypadku gdy dla danego rodzaju nieruchomości nie ogłoszono nigdy wskaźnika zmian cen nieruchomości, waloryzacji kwot należnych z tytułów określonych w ustawie w tym zakresie dokonuje się przy zastosowaniu wskaźnika cen towarów i usług konsumpcyjnych ogłaszanego przez Prezesa Głównego Urzędu Statystycznego.</w:t>
      </w: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F57EFF" w:rsidRPr="00FC2F64" w:rsidRDefault="00F57EFF" w:rsidP="00863B42">
      <w:pPr>
        <w:spacing w:after="0" w:line="240" w:lineRule="auto"/>
        <w:jc w:val="both"/>
        <w:rPr>
          <w:i/>
        </w:rPr>
      </w:pPr>
      <w:r w:rsidRPr="00FC2F64">
        <w:rPr>
          <w:i/>
        </w:rPr>
        <w:t>Pomimo ustawowego obowiązku Prezes GUS jednakże ani razu nie ogłosił wskaźników zmian cen nieruchomości, przy czym w ustawie nie było dotychczas wskazane w jakich terminach Prezes GUS taki obowiązek miałby realizować.</w:t>
      </w:r>
    </w:p>
    <w:p w:rsidR="00182D34" w:rsidRDefault="00182D34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182D34" w:rsidRDefault="00182D34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182D34" w:rsidRDefault="00182D34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182D34" w:rsidRDefault="00182D34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A36B18" w:rsidRPr="00FC2F64" w:rsidRDefault="00A36B18" w:rsidP="00863B42">
      <w:pPr>
        <w:spacing w:after="0" w:line="240" w:lineRule="auto"/>
        <w:jc w:val="both"/>
        <w:rPr>
          <w:rFonts w:eastAsia="Times New Roman"/>
          <w:i/>
          <w:u w:val="single"/>
          <w:lang w:eastAsia="pl-PL"/>
        </w:rPr>
      </w:pPr>
      <w:r w:rsidRPr="00FC2F64">
        <w:rPr>
          <w:rFonts w:eastAsia="Times New Roman"/>
          <w:i/>
          <w:u w:val="single"/>
          <w:lang w:eastAsia="pl-PL"/>
        </w:rPr>
        <w:lastRenderedPageBreak/>
        <w:t>Komunikat Prezesa Głównego Urzędu Statystycznego z dnia 15 stycznia 2018 r. w sprawie średniorocznego wskaźnika cen towarów i usług konsumpcyjnych ogółem w 2017 r.</w:t>
      </w:r>
    </w:p>
    <w:p w:rsidR="00A36B18" w:rsidRPr="00FC2F64" w:rsidRDefault="00A36B18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>Na podstawie art. 94 ust. 1 pkt 1 lit. a ustawy z dnia 17 grudnia 1998 r. o emeryturach i rentach</w:t>
      </w:r>
      <w:r w:rsidR="004A4CE2">
        <w:rPr>
          <w:rFonts w:eastAsia="Times New Roman"/>
          <w:i/>
          <w:lang w:eastAsia="pl-PL"/>
        </w:rPr>
        <w:br/>
      </w:r>
      <w:r w:rsidRPr="00FC2F64">
        <w:rPr>
          <w:rFonts w:eastAsia="Times New Roman"/>
          <w:i/>
          <w:lang w:eastAsia="pl-PL"/>
        </w:rPr>
        <w:t>z Funduszu Ubezpieczeń Społecznych (Dz. U. z 2017 r. poz. 1383, 1386 i 2120 oraz z 2018 r. poz. 138) ogłasza się, że średnioroczny wskaźnik cen towarów i usług konsumpcyjnych ogółem w 2017 r. w stosunku do 2016 r. wyniósł 102,0 (wzrost cen o 2,0%).</w:t>
      </w: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i/>
          <w:u w:val="single"/>
          <w:lang w:eastAsia="pl-PL"/>
        </w:rPr>
      </w:pPr>
      <w:r w:rsidRPr="00FC2F64">
        <w:rPr>
          <w:rFonts w:eastAsia="Times New Roman"/>
          <w:i/>
          <w:u w:val="single"/>
          <w:lang w:eastAsia="pl-PL"/>
        </w:rPr>
        <w:t>Obwieszczenie Prezesa Głównego Urzędu Statystycznego z dnia 8 października 2018 r.</w:t>
      </w: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i/>
          <w:u w:val="single"/>
          <w:lang w:eastAsia="pl-PL"/>
        </w:rPr>
      </w:pPr>
      <w:r w:rsidRPr="00FC2F64">
        <w:rPr>
          <w:rFonts w:eastAsia="Times New Roman"/>
          <w:i/>
          <w:u w:val="single"/>
          <w:lang w:eastAsia="pl-PL"/>
        </w:rPr>
        <w:t>w sprawie wskaźników zmian cen dla lokali mieszkalnych w drugim kwartale 2018 r. z podziałem na województwa</w:t>
      </w: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>Na podstawie art. 5 ust. 2 ustawy z dnia 21 sierpnia 1997 r</w:t>
      </w:r>
      <w:r w:rsidR="004A4CE2">
        <w:rPr>
          <w:rFonts w:eastAsia="Times New Roman"/>
          <w:i/>
          <w:lang w:eastAsia="pl-PL"/>
        </w:rPr>
        <w:t>. o gospodarce nieruchomościami</w:t>
      </w:r>
      <w:r w:rsidR="004A4CE2">
        <w:rPr>
          <w:rFonts w:eastAsia="Times New Roman"/>
          <w:i/>
          <w:lang w:eastAsia="pl-PL"/>
        </w:rPr>
        <w:br/>
      </w:r>
      <w:r w:rsidRPr="00FC2F64">
        <w:rPr>
          <w:rFonts w:eastAsia="Times New Roman"/>
          <w:i/>
          <w:lang w:eastAsia="pl-PL"/>
        </w:rPr>
        <w:t xml:space="preserve">(Dz. U. z 2018 r. poz. 121, z </w:t>
      </w:r>
      <w:proofErr w:type="spellStart"/>
      <w:r w:rsidRPr="00FC2F64">
        <w:rPr>
          <w:rFonts w:eastAsia="Times New Roman"/>
          <w:i/>
          <w:lang w:eastAsia="pl-PL"/>
        </w:rPr>
        <w:t>późn</w:t>
      </w:r>
      <w:proofErr w:type="spellEnd"/>
      <w:r w:rsidRPr="00FC2F64">
        <w:rPr>
          <w:rFonts w:eastAsia="Times New Roman"/>
          <w:i/>
          <w:lang w:eastAsia="pl-PL"/>
        </w:rPr>
        <w:t>. zm.) ogłasza się wskaźniki zmian cen dla lokali mieszkalnych</w:t>
      </w:r>
      <w:r w:rsidR="004A4CE2">
        <w:rPr>
          <w:rFonts w:eastAsia="Times New Roman"/>
          <w:i/>
          <w:lang w:eastAsia="pl-PL"/>
        </w:rPr>
        <w:br/>
      </w:r>
      <w:r w:rsidRPr="00FC2F64">
        <w:rPr>
          <w:rFonts w:eastAsia="Times New Roman"/>
          <w:i/>
          <w:lang w:eastAsia="pl-PL"/>
        </w:rPr>
        <w:t>w drugim kwartale 2018 r. z podziałem na województwa, określone w tabeli stanowiącej załącznik do obwieszczenia.</w:t>
      </w: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FC2F64">
        <w:rPr>
          <w:rFonts w:eastAsia="Times New Roman"/>
          <w:i/>
          <w:lang w:eastAsia="pl-PL"/>
        </w:rPr>
        <w:t>Wskaźniki zmian cen dla lokali mieszkalnych w drugim kwartale 2018 r. z podziałem na województwa</w:t>
      </w:r>
      <w:r w:rsidR="0064518C" w:rsidRPr="00FC2F64">
        <w:rPr>
          <w:rFonts w:eastAsia="Times New Roman"/>
          <w:i/>
          <w:lang w:eastAsia="pl-PL"/>
        </w:rPr>
        <w:t xml:space="preserve">: 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072007" w:rsidRPr="00FC2F64" w:rsidTr="00096309">
        <w:tc>
          <w:tcPr>
            <w:tcW w:w="3827" w:type="dxa"/>
            <w:vMerge w:val="restart"/>
            <w:vAlign w:val="center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  <w:r w:rsidRPr="00FC2F64">
              <w:rPr>
                <w:rFonts w:eastAsia="Times New Roman"/>
                <w:b/>
                <w:bCs/>
                <w:i/>
                <w:lang w:eastAsia="pl-PL"/>
              </w:rPr>
              <w:t>Wyszczególnienie</w:t>
            </w:r>
          </w:p>
        </w:tc>
        <w:tc>
          <w:tcPr>
            <w:tcW w:w="5387" w:type="dxa"/>
            <w:vAlign w:val="center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  <w:r w:rsidRPr="00FC2F64">
              <w:rPr>
                <w:rFonts w:eastAsia="Times New Roman"/>
                <w:b/>
                <w:bCs/>
                <w:i/>
                <w:lang w:eastAsia="pl-PL"/>
              </w:rPr>
              <w:t>II kwartał 2018</w:t>
            </w:r>
          </w:p>
        </w:tc>
      </w:tr>
      <w:tr w:rsidR="00072007" w:rsidRPr="00FC2F64" w:rsidTr="00096309">
        <w:tc>
          <w:tcPr>
            <w:tcW w:w="3827" w:type="dxa"/>
            <w:vMerge/>
            <w:vAlign w:val="center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5387" w:type="dxa"/>
            <w:vAlign w:val="center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  <w:r w:rsidRPr="00FC2F64">
              <w:rPr>
                <w:rFonts w:eastAsia="Times New Roman"/>
                <w:b/>
                <w:bCs/>
                <w:i/>
                <w:lang w:eastAsia="pl-PL"/>
              </w:rPr>
              <w:t>kwartał poprzedni = 100</w:t>
            </w:r>
          </w:p>
        </w:tc>
      </w:tr>
      <w:tr w:rsidR="00096309" w:rsidRPr="00FC2F64" w:rsidTr="00096309">
        <w:tc>
          <w:tcPr>
            <w:tcW w:w="3827" w:type="dxa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  <w:r w:rsidRPr="00FC2F64">
              <w:rPr>
                <w:rFonts w:eastAsia="Times New Roman"/>
                <w:i/>
                <w:lang w:eastAsia="pl-PL"/>
              </w:rPr>
              <w:t>Wielkopolskie</w:t>
            </w:r>
          </w:p>
        </w:tc>
        <w:tc>
          <w:tcPr>
            <w:tcW w:w="5387" w:type="dxa"/>
            <w:vAlign w:val="center"/>
            <w:hideMark/>
          </w:tcPr>
          <w:p w:rsidR="00072007" w:rsidRPr="00FC2F64" w:rsidRDefault="00072007" w:rsidP="00863B42">
            <w:pPr>
              <w:jc w:val="both"/>
              <w:rPr>
                <w:rFonts w:eastAsia="Times New Roman"/>
                <w:i/>
                <w:lang w:eastAsia="pl-PL"/>
              </w:rPr>
            </w:pPr>
            <w:r w:rsidRPr="00FC2F64">
              <w:rPr>
                <w:rFonts w:eastAsia="Times New Roman"/>
                <w:i/>
                <w:lang w:eastAsia="pl-PL"/>
              </w:rPr>
              <w:t>103,0</w:t>
            </w:r>
          </w:p>
        </w:tc>
      </w:tr>
    </w:tbl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72007" w:rsidRPr="00FC2F64" w:rsidRDefault="00072007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6C431F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Waloryzacji opłaty </w:t>
      </w:r>
      <w:proofErr w:type="spellStart"/>
      <w:r w:rsidR="00642509" w:rsidRPr="00FC2F64">
        <w:rPr>
          <w:rFonts w:eastAsia="Times New Roman"/>
          <w:lang w:eastAsia="pl-PL"/>
        </w:rPr>
        <w:t>przekształceniowej</w:t>
      </w:r>
      <w:proofErr w:type="spellEnd"/>
      <w:r w:rsidR="00642509" w:rsidRPr="00FC2F64">
        <w:rPr>
          <w:rFonts w:eastAsia="Times New Roman"/>
          <w:lang w:eastAsia="pl-PL"/>
        </w:rPr>
        <w:t xml:space="preserve"> </w:t>
      </w:r>
      <w:r w:rsidRPr="00FC2F64">
        <w:rPr>
          <w:rFonts w:eastAsia="Times New Roman"/>
          <w:lang w:eastAsia="pl-PL"/>
        </w:rPr>
        <w:t xml:space="preserve">dokonuje </w:t>
      </w:r>
      <w:r w:rsidR="006C431F" w:rsidRPr="00FC2F64">
        <w:rPr>
          <w:rFonts w:eastAsia="Times New Roman"/>
          <w:lang w:eastAsia="pl-PL"/>
        </w:rPr>
        <w:t xml:space="preserve">się </w:t>
      </w:r>
      <w:r w:rsidRPr="00FC2F64">
        <w:rPr>
          <w:rFonts w:eastAsia="Times New Roman"/>
          <w:lang w:eastAsia="pl-PL"/>
        </w:rPr>
        <w:t xml:space="preserve">z urzędu albo na wniosek właściciela nieruchomości, nie częściej niż raz na 3 lata od dnia dokonania ostatniej waloryzacji. </w:t>
      </w:r>
    </w:p>
    <w:p w:rsidR="006C431F" w:rsidRPr="00FC2F64" w:rsidRDefault="006C431F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717B55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O wysokości zwaloryzowanej opłaty zawiadamia </w:t>
      </w:r>
      <w:r w:rsidR="006C431F" w:rsidRPr="00FC2F64">
        <w:rPr>
          <w:rFonts w:eastAsia="Times New Roman"/>
          <w:lang w:eastAsia="pl-PL"/>
        </w:rPr>
        <w:t xml:space="preserve">się </w:t>
      </w:r>
      <w:r w:rsidRPr="00FC2F64">
        <w:rPr>
          <w:rFonts w:eastAsia="Times New Roman"/>
          <w:lang w:eastAsia="pl-PL"/>
        </w:rPr>
        <w:t>właściciela nieruchomości, doręczając informację na piśmie. Zwaloryzowana opłata obowiązuje od dnia 1 stycznia roku następującego po roku, w którym dokonano waloryzacji.</w:t>
      </w:r>
    </w:p>
    <w:p w:rsidR="00717B55" w:rsidRPr="00FC2F64" w:rsidRDefault="006C431F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>M</w:t>
      </w:r>
      <w:r w:rsidR="00717B55" w:rsidRPr="00FC2F64">
        <w:rPr>
          <w:rFonts w:eastAsia="Times New Roman"/>
          <w:lang w:eastAsia="pl-PL"/>
        </w:rPr>
        <w:t>oż</w:t>
      </w:r>
      <w:r w:rsidRPr="00FC2F64">
        <w:rPr>
          <w:rFonts w:eastAsia="Times New Roman"/>
          <w:lang w:eastAsia="pl-PL"/>
        </w:rPr>
        <w:t>na</w:t>
      </w:r>
      <w:r w:rsidR="00717B55" w:rsidRPr="00FC2F64">
        <w:rPr>
          <w:rFonts w:eastAsia="Times New Roman"/>
          <w:lang w:eastAsia="pl-PL"/>
        </w:rPr>
        <w:t xml:space="preserve"> odmówić dokonania waloryzacji jedynie w przypadku, jeżeli wskaźniki, o których mowa</w:t>
      </w:r>
      <w:r w:rsidR="004A4CE2">
        <w:rPr>
          <w:rFonts w:eastAsia="Times New Roman"/>
          <w:lang w:eastAsia="pl-PL"/>
        </w:rPr>
        <w:br/>
      </w:r>
      <w:r w:rsidR="00717B55" w:rsidRPr="00FC2F64">
        <w:rPr>
          <w:rFonts w:eastAsia="Times New Roman"/>
          <w:lang w:eastAsia="pl-PL"/>
        </w:rPr>
        <w:t>w art. 5 ustawy o gospodarce nieruchomościami, nie uległy zmianie w okresie od dnia przekształcenia lub ostatniej waloryzacji do dnia złożenia wniosku.</w:t>
      </w:r>
    </w:p>
    <w:p w:rsidR="0062290E" w:rsidRPr="00FC2F64" w:rsidRDefault="0062290E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62290E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Obowiązek wnoszenia opłaty obciąża każdoczesnego właściciela nieruchomości, w odniesieniu do której istnieje roszczenie o opłatę, przez okres pozostały do wnoszenia tej opłaty, począwszy od dnia 1 stycznia roku następującego po roku, w którym nastąpiło nabycie nieruchomości. </w:t>
      </w:r>
    </w:p>
    <w:p w:rsidR="006C431F" w:rsidRPr="00FC2F64" w:rsidRDefault="006C431F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717B55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Przepisy ustawy stosuje się z uwzględnieniem przepisów o pomocy publicznej. Udzielenie pomocy publicznej wymaga spełnienia warunków udzielenia pomocy de </w:t>
      </w:r>
      <w:proofErr w:type="spellStart"/>
      <w:r w:rsidRPr="00FC2F64">
        <w:rPr>
          <w:rFonts w:eastAsia="Times New Roman"/>
          <w:lang w:eastAsia="pl-PL"/>
        </w:rPr>
        <w:t>minimis</w:t>
      </w:r>
      <w:proofErr w:type="spellEnd"/>
      <w:r w:rsidRPr="00FC2F64">
        <w:rPr>
          <w:rFonts w:eastAsia="Times New Roman"/>
          <w:lang w:eastAsia="pl-PL"/>
        </w:rPr>
        <w:t>, określonych</w:t>
      </w:r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 xml:space="preserve">w szczególności w rozporządzeniu Komisji (UE) nr 1407/2013 z dnia 18 grudnia 2013 r. w sprawie stosowania art. 107 i 108 Traktatu o funkcjonowaniu Unii Europejskiej do pomocy de </w:t>
      </w:r>
      <w:proofErr w:type="spellStart"/>
      <w:r w:rsidRPr="00FC2F64">
        <w:rPr>
          <w:rFonts w:eastAsia="Times New Roman"/>
          <w:lang w:eastAsia="pl-PL"/>
        </w:rPr>
        <w:t>minimis</w:t>
      </w:r>
      <w:proofErr w:type="spellEnd"/>
      <w:r w:rsidR="004A4CE2">
        <w:rPr>
          <w:rFonts w:eastAsia="Times New Roman"/>
          <w:lang w:eastAsia="pl-PL"/>
        </w:rPr>
        <w:br/>
      </w:r>
      <w:r w:rsidRPr="00FC2F64">
        <w:rPr>
          <w:rFonts w:eastAsia="Times New Roman"/>
          <w:lang w:eastAsia="pl-PL"/>
        </w:rPr>
        <w:t>(Dz. Urz. UE L 352 z 24.12.2013, str. 1).</w:t>
      </w:r>
    </w:p>
    <w:p w:rsidR="00717B55" w:rsidRPr="00FC2F64" w:rsidRDefault="00717B55" w:rsidP="00863B42">
      <w:pPr>
        <w:spacing w:after="0" w:line="240" w:lineRule="auto"/>
        <w:jc w:val="both"/>
        <w:rPr>
          <w:rFonts w:eastAsia="Times New Roman"/>
          <w:lang w:eastAsia="pl-PL"/>
        </w:rPr>
      </w:pPr>
      <w:r w:rsidRPr="00FC2F64">
        <w:rPr>
          <w:rFonts w:eastAsia="Times New Roman"/>
          <w:lang w:eastAsia="pl-PL"/>
        </w:rPr>
        <w:t xml:space="preserve">W przypadku gdy nastąpi przekroczenie limitu pomocy de </w:t>
      </w:r>
      <w:proofErr w:type="spellStart"/>
      <w:r w:rsidRPr="00FC2F64">
        <w:rPr>
          <w:rFonts w:eastAsia="Times New Roman"/>
          <w:lang w:eastAsia="pl-PL"/>
        </w:rPr>
        <w:t>minimis</w:t>
      </w:r>
      <w:proofErr w:type="spellEnd"/>
      <w:r w:rsidRPr="00FC2F64">
        <w:rPr>
          <w:rFonts w:eastAsia="Times New Roman"/>
          <w:lang w:eastAsia="pl-PL"/>
        </w:rPr>
        <w:t>, stosuje się dopłatę do wysokości wartości rynkowej nieruchomości określonej na dzień przekształcenia. Wysokość dopłaty ustalana jest z urzędu w drodze decyzji. Koszty operatu szacunkowego ponosi zobowiązany do dopłaty.</w:t>
      </w:r>
    </w:p>
    <w:p w:rsidR="004174A8" w:rsidRDefault="004174A8" w:rsidP="00863B42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5E5B15" w:rsidRDefault="00A05242" w:rsidP="005E5B15">
      <w:pPr>
        <w:pStyle w:val="NormalnyWeb"/>
        <w:spacing w:before="0" w:beforeAutospacing="0" w:after="0" w:afterAutospacing="0"/>
        <w:jc w:val="center"/>
        <w:rPr>
          <w:b/>
        </w:rPr>
      </w:pPr>
      <w:r w:rsidRPr="00FC2F64">
        <w:lastRenderedPageBreak/>
        <w:br w:type="page"/>
      </w:r>
      <w:r w:rsidR="005E5B15" w:rsidRPr="00E5687F">
        <w:rPr>
          <w:b/>
        </w:rPr>
        <w:lastRenderedPageBreak/>
        <w:t xml:space="preserve">UDZIELENIE BONIFIKAT </w:t>
      </w:r>
    </w:p>
    <w:p w:rsidR="005E5B15" w:rsidRDefault="005E5B15" w:rsidP="005E5B15">
      <w:pPr>
        <w:pStyle w:val="NormalnyWeb"/>
        <w:spacing w:before="0" w:beforeAutospacing="0" w:after="0" w:afterAutospacing="0"/>
        <w:jc w:val="center"/>
        <w:rPr>
          <w:b/>
        </w:rPr>
      </w:pPr>
      <w:r w:rsidRPr="00E5687F">
        <w:rPr>
          <w:b/>
        </w:rPr>
        <w:t>PRZY PRZEKSZTAŁCENIU PRAWA UŻYTKOWANIA WIECZYSTEGO</w:t>
      </w:r>
    </w:p>
    <w:p w:rsidR="005E5B15" w:rsidRPr="00E5687F" w:rsidRDefault="005E5B15" w:rsidP="005E5B15">
      <w:pPr>
        <w:pStyle w:val="NormalnyWeb"/>
        <w:spacing w:before="0" w:beforeAutospacing="0" w:after="0" w:afterAutospacing="0"/>
        <w:jc w:val="center"/>
        <w:rPr>
          <w:b/>
        </w:rPr>
      </w:pPr>
      <w:r w:rsidRPr="00E5687F">
        <w:rPr>
          <w:b/>
        </w:rPr>
        <w:t>W PRAWO WŁASNOŚCI NIERUCHOMOŚCI</w:t>
      </w:r>
    </w:p>
    <w:p w:rsidR="005E5B15" w:rsidRDefault="005E5B15" w:rsidP="005E5B15">
      <w:pPr>
        <w:pStyle w:val="NormalnyWeb"/>
        <w:spacing w:before="0" w:beforeAutospacing="0" w:after="0" w:afterAutospacing="0"/>
        <w:jc w:val="both"/>
      </w:pPr>
    </w:p>
    <w:p w:rsidR="005E5B15" w:rsidRPr="003C563D" w:rsidRDefault="005E5B15" w:rsidP="005E5B15">
      <w:pPr>
        <w:pStyle w:val="NormalnyWeb"/>
        <w:spacing w:before="0" w:beforeAutospacing="0" w:after="0" w:afterAutospacing="0"/>
        <w:jc w:val="both"/>
      </w:pPr>
      <w:r w:rsidRPr="003C563D">
        <w:t>Przekształcenie prawa użytkowania wieczystego w prawo własności nieruchomości może nastąpić w oparciu o:</w:t>
      </w:r>
    </w:p>
    <w:p w:rsidR="005E5B15" w:rsidRPr="003C563D" w:rsidRDefault="005E5B15" w:rsidP="005E5B1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3C563D">
        <w:t>ustawę z dnia 29 lipca 2005 r. o przekształceniu prawa użytkowania wieczystego w prawo własności nieruchomości (</w:t>
      </w:r>
      <w:proofErr w:type="spellStart"/>
      <w:r w:rsidRPr="003C563D">
        <w:t>t.j</w:t>
      </w:r>
      <w:proofErr w:type="spellEnd"/>
      <w:r w:rsidRPr="003C563D">
        <w:t xml:space="preserve">. Dz. U. z 2012 r. poz. 83 z </w:t>
      </w:r>
      <w:proofErr w:type="spellStart"/>
      <w:r w:rsidRPr="003C563D">
        <w:t>późn</w:t>
      </w:r>
      <w:proofErr w:type="spellEnd"/>
      <w:r w:rsidRPr="003C563D">
        <w:t>. zm.).</w:t>
      </w:r>
    </w:p>
    <w:p w:rsidR="005E5B15" w:rsidRPr="003C563D" w:rsidRDefault="005E5B15" w:rsidP="005E5B1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3C563D">
        <w:t>ustawę z dnia 20 lipca 2018 r. o przekształceniu prawa użytkowania wieczystego gruntów zabudowanych na cele mieszkaniowe w prawo własności tych gruntów (Dz. U. poz. 1716).</w:t>
      </w:r>
    </w:p>
    <w:p w:rsidR="00A05242" w:rsidRDefault="00A05242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p w:rsidR="005E5B15" w:rsidRDefault="005E5B15" w:rsidP="00863B42">
      <w:pPr>
        <w:spacing w:after="0" w:line="240" w:lineRule="auto"/>
        <w:jc w:val="both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51"/>
        <w:gridCol w:w="3951"/>
      </w:tblGrid>
      <w:tr w:rsidR="00F15D98" w:rsidRPr="001F67A3" w:rsidTr="00B2188E">
        <w:trPr>
          <w:trHeight w:val="692"/>
        </w:trPr>
        <w:tc>
          <w:tcPr>
            <w:tcW w:w="1668" w:type="dxa"/>
            <w:vAlign w:val="center"/>
          </w:tcPr>
          <w:p w:rsidR="001D322A" w:rsidRPr="001F67A3" w:rsidRDefault="001D322A" w:rsidP="00E70264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  <w:vAlign w:val="center"/>
          </w:tcPr>
          <w:p w:rsidR="001D322A" w:rsidRPr="001F67A3" w:rsidRDefault="001D322A" w:rsidP="00E70264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b/>
                <w:sz w:val="20"/>
                <w:szCs w:val="20"/>
              </w:rPr>
              <w:t>ustawa z dnia 29 lipca 2005 r.</w:t>
            </w:r>
          </w:p>
        </w:tc>
        <w:tc>
          <w:tcPr>
            <w:tcW w:w="3951" w:type="dxa"/>
            <w:vAlign w:val="center"/>
          </w:tcPr>
          <w:p w:rsidR="001D322A" w:rsidRPr="001F67A3" w:rsidRDefault="001D322A" w:rsidP="00E70264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b/>
                <w:sz w:val="20"/>
                <w:szCs w:val="20"/>
              </w:rPr>
              <w:t>ustawa z dnia 20 lipca 2018 r.</w:t>
            </w: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1D322A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Kogo obejmuje</w:t>
            </w:r>
          </w:p>
        </w:tc>
        <w:tc>
          <w:tcPr>
            <w:tcW w:w="3951" w:type="dxa"/>
          </w:tcPr>
          <w:p w:rsidR="001D322A" w:rsidRPr="001F67A3" w:rsidRDefault="00F15D9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C111FB" w:rsidRPr="00A05242">
              <w:rPr>
                <w:rFonts w:eastAsia="Times New Roman"/>
                <w:sz w:val="20"/>
                <w:szCs w:val="20"/>
                <w:lang w:eastAsia="pl-PL"/>
              </w:rPr>
              <w:t>soby fizyczne będące w dniu 13 października 2005 r. użytkownikami wieczystymi nieruchomości zabudowanych na cele mieszkaniowe lub zabudowanych garażami albo przeznaczonych pod zabudowę na cele mieszkaniowe lub pod zabudowę garażami oraz nieruchomości rolnych</w:t>
            </w:r>
            <w:r w:rsidR="00C111FB" w:rsidRPr="001F67A3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51" w:type="dxa"/>
          </w:tcPr>
          <w:p w:rsidR="00C111FB" w:rsidRPr="001F67A3" w:rsidRDefault="00F15D9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G</w:t>
            </w:r>
            <w:r w:rsidR="00C111FB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runty zabudowane na cele mieszkaniowe, czyli takie nieruchomości </w:t>
            </w:r>
            <w:r w:rsidR="006A5F21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które </w:t>
            </w:r>
            <w:r w:rsidR="00C111FB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zabudowane </w:t>
            </w:r>
            <w:r w:rsidR="006A5F21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są </w:t>
            </w:r>
            <w:r w:rsidR="00C111FB" w:rsidRPr="001F67A3">
              <w:rPr>
                <w:rFonts w:eastAsia="Times New Roman"/>
                <w:sz w:val="20"/>
                <w:szCs w:val="20"/>
                <w:lang w:eastAsia="pl-PL"/>
              </w:rPr>
              <w:t>wyłącznie budynkami:</w:t>
            </w:r>
          </w:p>
          <w:p w:rsidR="00C111FB" w:rsidRPr="001F67A3" w:rsidRDefault="00C111FB" w:rsidP="00182D34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mieszkalnymi jednorodzinnymi lub</w:t>
            </w:r>
          </w:p>
          <w:p w:rsidR="00C111FB" w:rsidRPr="001F67A3" w:rsidRDefault="00C111FB" w:rsidP="00182D34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mieszkalnymi wielorodzinnymi, w których co najmniej połowę liczby lokali stanowią lokale mieszkalne, lub</w:t>
            </w:r>
          </w:p>
          <w:p w:rsidR="001D322A" w:rsidRDefault="00C111FB" w:rsidP="001F67A3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 których mowa w pkt 1 lub 2, wraz z budynkami gospodarczymi, garażami, innymi obiektami budowlanymi lub urządzeniami budowlanymi, umożliwiającymi prawidłowe i racjonalne korzystanie z budynków mieszkalnych.</w:t>
            </w:r>
          </w:p>
          <w:p w:rsidR="00E70264" w:rsidRPr="001F67A3" w:rsidRDefault="00E70264" w:rsidP="00E70264">
            <w:pPr>
              <w:pStyle w:val="Akapitzlist"/>
              <w:ind w:left="360"/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E72968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Kiedy następuje</w:t>
            </w:r>
            <w:r w:rsidR="006A5F21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przekształcenie</w:t>
            </w:r>
          </w:p>
        </w:tc>
        <w:tc>
          <w:tcPr>
            <w:tcW w:w="3951" w:type="dxa"/>
          </w:tcPr>
          <w:p w:rsidR="001D322A" w:rsidRPr="001F67A3" w:rsidRDefault="006A5F21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n</w:t>
            </w:r>
            <w:r w:rsidR="00E72968" w:rsidRPr="001F67A3">
              <w:rPr>
                <w:rFonts w:eastAsia="Times New Roman"/>
                <w:sz w:val="20"/>
                <w:szCs w:val="20"/>
                <w:lang w:eastAsia="pl-PL"/>
              </w:rPr>
              <w:t>a wniosek użytkownika</w:t>
            </w:r>
          </w:p>
        </w:tc>
        <w:tc>
          <w:tcPr>
            <w:tcW w:w="3951" w:type="dxa"/>
          </w:tcPr>
          <w:p w:rsidR="001D322A" w:rsidRPr="001F67A3" w:rsidRDefault="006A5F21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</w:t>
            </w:r>
            <w:r w:rsidR="00E72968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mocy prawa</w:t>
            </w: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F15D98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D</w:t>
            </w:r>
            <w:r w:rsidR="006A5F21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okument</w:t>
            </w:r>
            <w:r w:rsidR="00E72968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potwierdz</w:t>
            </w:r>
            <w:r w:rsidR="006A5F21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ający </w:t>
            </w:r>
            <w:r w:rsidR="00E72968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przekształceni</w:t>
            </w:r>
            <w:r w:rsidR="006A5F21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951" w:type="dxa"/>
          </w:tcPr>
          <w:p w:rsidR="001D322A" w:rsidRPr="001F67A3" w:rsidRDefault="00E7296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3951" w:type="dxa"/>
          </w:tcPr>
          <w:p w:rsidR="001D322A" w:rsidRPr="001F67A3" w:rsidRDefault="00E7296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zaświadczenie</w:t>
            </w:r>
          </w:p>
        </w:tc>
      </w:tr>
      <w:tr w:rsidR="00E70264" w:rsidRPr="001F67A3" w:rsidTr="00E70264">
        <w:tc>
          <w:tcPr>
            <w:tcW w:w="1668" w:type="dxa"/>
          </w:tcPr>
          <w:p w:rsidR="006A5F21" w:rsidRPr="001F67A3" w:rsidRDefault="006A5F21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Data przekształcenia</w:t>
            </w:r>
          </w:p>
        </w:tc>
        <w:tc>
          <w:tcPr>
            <w:tcW w:w="3951" w:type="dxa"/>
          </w:tcPr>
          <w:p w:rsidR="006A5F21" w:rsidRDefault="006A5F21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A05242">
              <w:rPr>
                <w:rFonts w:eastAsia="Times New Roman"/>
                <w:sz w:val="20"/>
                <w:szCs w:val="20"/>
                <w:lang w:eastAsia="pl-PL"/>
              </w:rPr>
              <w:t>z dniem, w którym decyzja stała się ostateczna</w:t>
            </w:r>
          </w:p>
          <w:p w:rsidR="00E70264" w:rsidRPr="001F67A3" w:rsidRDefault="00E70264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</w:tcPr>
          <w:p w:rsidR="006A5F21" w:rsidRPr="001F67A3" w:rsidRDefault="006A5F21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 dniem 1 stycznia 2019 r.</w:t>
            </w: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E72968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Opłata skarbowa</w:t>
            </w:r>
          </w:p>
        </w:tc>
        <w:tc>
          <w:tcPr>
            <w:tcW w:w="3951" w:type="dxa"/>
          </w:tcPr>
          <w:p w:rsidR="001D322A" w:rsidRPr="001F67A3" w:rsidRDefault="00E7296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10 zł</w:t>
            </w:r>
          </w:p>
        </w:tc>
        <w:tc>
          <w:tcPr>
            <w:tcW w:w="3951" w:type="dxa"/>
          </w:tcPr>
          <w:p w:rsidR="001D322A" w:rsidRDefault="00E7296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50 zł - wnoszona tylko w przypadku wystąpienia </w:t>
            </w:r>
            <w:r w:rsidR="00F15D98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przez użytkownika </w:t>
            </w: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z wnioskiem o wydanie zaświadczenia </w:t>
            </w:r>
          </w:p>
          <w:p w:rsidR="00E70264" w:rsidRPr="001F67A3" w:rsidRDefault="00E70264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70264" w:rsidRPr="001F67A3" w:rsidTr="00E70264">
        <w:tc>
          <w:tcPr>
            <w:tcW w:w="1668" w:type="dxa"/>
          </w:tcPr>
          <w:p w:rsidR="006E673F" w:rsidRPr="001F67A3" w:rsidRDefault="006E673F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Wpis do księgi wieczystej</w:t>
            </w:r>
          </w:p>
        </w:tc>
        <w:tc>
          <w:tcPr>
            <w:tcW w:w="3951" w:type="dxa"/>
          </w:tcPr>
          <w:p w:rsidR="006E673F" w:rsidRDefault="004352C0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n</w:t>
            </w:r>
            <w:r w:rsidR="006E673F" w:rsidRPr="001F67A3">
              <w:rPr>
                <w:rFonts w:eastAsia="Times New Roman"/>
                <w:sz w:val="20"/>
                <w:szCs w:val="20"/>
                <w:lang w:eastAsia="pl-PL"/>
              </w:rPr>
              <w:t>a wniosek użytkownika i podlega opłacie</w:t>
            </w:r>
            <w:r w:rsidR="00A07D76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– 200 zł</w:t>
            </w:r>
          </w:p>
          <w:p w:rsidR="00E70264" w:rsidRPr="001F67A3" w:rsidRDefault="00E70264" w:rsidP="00182D34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:rsidR="006E673F" w:rsidRPr="001F67A3" w:rsidRDefault="004352C0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 urzędu i nie podlega opłacie</w:t>
            </w:r>
          </w:p>
        </w:tc>
      </w:tr>
      <w:tr w:rsidR="00E70264" w:rsidRPr="001F67A3" w:rsidTr="00E70264">
        <w:tc>
          <w:tcPr>
            <w:tcW w:w="1668" w:type="dxa"/>
          </w:tcPr>
          <w:p w:rsidR="006A5F21" w:rsidRPr="001F67A3" w:rsidRDefault="001D1327" w:rsidP="00E70264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Wysokość opłaty</w:t>
            </w:r>
            <w:r w:rsidR="004352C0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7026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tytułu </w:t>
            </w:r>
            <w:r w:rsidR="004352C0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przekształceni</w:t>
            </w:r>
            <w:r w:rsidR="00E70264"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51" w:type="dxa"/>
          </w:tcPr>
          <w:p w:rsidR="001D1327" w:rsidRPr="001F67A3" w:rsidRDefault="004B201C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U</w:t>
            </w:r>
            <w:r w:rsidR="001D1327" w:rsidRPr="001F67A3">
              <w:rPr>
                <w:sz w:val="20"/>
                <w:szCs w:val="20"/>
              </w:rPr>
              <w:t>stalana zgodnie z art. 67 ust. 3a i art. 69 ustawy z dnia 21 sierpnia 1997 r. o gospodarce nieruchomościami</w:t>
            </w:r>
            <w:r w:rsidRPr="001F67A3">
              <w:rPr>
                <w:sz w:val="20"/>
                <w:szCs w:val="20"/>
              </w:rPr>
              <w:t xml:space="preserve"> (konieczność sporządzenia operatu szacunkowego)</w:t>
            </w:r>
            <w:r w:rsidR="001D1327" w:rsidRPr="001F67A3">
              <w:rPr>
                <w:sz w:val="20"/>
                <w:szCs w:val="20"/>
              </w:rPr>
              <w:t>.</w:t>
            </w:r>
          </w:p>
          <w:p w:rsidR="001D1327" w:rsidRPr="001F67A3" w:rsidRDefault="001D1327" w:rsidP="00182D34">
            <w:pPr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F67A3">
              <w:rPr>
                <w:rStyle w:val="alb"/>
                <w:i/>
                <w:sz w:val="20"/>
                <w:szCs w:val="20"/>
              </w:rPr>
              <w:t xml:space="preserve">Art. 67 ust. 3a.  </w:t>
            </w:r>
            <w:r w:rsidRPr="001F67A3">
              <w:rPr>
                <w:i/>
                <w:sz w:val="20"/>
                <w:szCs w:val="20"/>
              </w:rPr>
              <w:t>Jeżeli nieruchomość jest sprzedawana w drodze bezprzetargowej w celu realizacji roszczeń przysługujących na mocy niniejszej ustawy lub odrębnych przepisów, cenę nieruchomości ustala się w wysokości równej jej wartości.</w:t>
            </w:r>
          </w:p>
          <w:p w:rsidR="006A5F21" w:rsidRDefault="001D1327" w:rsidP="001F67A3">
            <w:pPr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Art.  69.  </w:t>
            </w:r>
            <w:r w:rsidRPr="002C2C9F">
              <w:rPr>
                <w:rFonts w:eastAsia="Times New Roman"/>
                <w:i/>
                <w:sz w:val="20"/>
                <w:szCs w:val="20"/>
                <w:lang w:eastAsia="pl-PL"/>
              </w:rPr>
              <w:t>Na poczet ceny nieruchomości gruntowej sprzedawanej jej użytkownikowi wieczystemu zalicza się kwotę równą wartości prawa użytkowania wieczystego tej nieruchomości, określoną według stanu na dzień sprzedaży.</w:t>
            </w:r>
          </w:p>
          <w:p w:rsidR="00E70264" w:rsidRPr="001F67A3" w:rsidRDefault="00E70264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51" w:type="dxa"/>
          </w:tcPr>
          <w:p w:rsidR="001D1327" w:rsidRPr="001F67A3" w:rsidRDefault="004B201C" w:rsidP="00423911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1D1327" w:rsidRPr="001F67A3">
              <w:rPr>
                <w:rFonts w:eastAsia="Times New Roman"/>
                <w:sz w:val="20"/>
                <w:szCs w:val="20"/>
                <w:lang w:eastAsia="pl-PL"/>
              </w:rPr>
              <w:t>ysokość opłaty jest równa wysokości opłaty rocznej z tytułu użytkowania wieczystego, która obowiązywałaby w dniu przekształcenia.</w:t>
            </w:r>
          </w:p>
          <w:p w:rsidR="00423911" w:rsidRPr="00423911" w:rsidRDefault="00423911" w:rsidP="00423911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423911">
              <w:rPr>
                <w:rFonts w:eastAsia="Times New Roman"/>
                <w:sz w:val="20"/>
                <w:szCs w:val="20"/>
                <w:lang w:eastAsia="pl-PL"/>
              </w:rPr>
              <w:t>Właściciel gruntu w każdym czasie trwania obowiązku wnoszenia opłaty może zgłosić na piśmie zamiar jednorazowego jej wniesienia w kwocie pozostającej do spłaty (opłata jednorazowa). Wysokość opłaty jednorazowej odpowiada iloczynowi wysokości opłaty obowiązującej w roku,</w:t>
            </w:r>
            <w:r w:rsidRPr="00423911">
              <w:rPr>
                <w:rFonts w:eastAsia="Times New Roman"/>
                <w:sz w:val="20"/>
                <w:szCs w:val="20"/>
                <w:lang w:eastAsia="pl-PL"/>
              </w:rPr>
              <w:br/>
              <w:t>w którym zgłoszono zamiar wniesienia opłaty jednorazowej, oraz liczby lat pozostałych do upływu 20 letniego okresu.</w:t>
            </w:r>
          </w:p>
          <w:p w:rsidR="006A5F21" w:rsidRPr="001F67A3" w:rsidRDefault="006A5F21" w:rsidP="0042391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5E5B15" w:rsidRDefault="005E5B15"/>
    <w:p w:rsidR="005E5B15" w:rsidRDefault="005E5B1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51"/>
        <w:gridCol w:w="3951"/>
      </w:tblGrid>
      <w:tr w:rsidR="004B201C" w:rsidRPr="001F67A3" w:rsidTr="00E70264">
        <w:tc>
          <w:tcPr>
            <w:tcW w:w="1668" w:type="dxa"/>
          </w:tcPr>
          <w:p w:rsidR="004B201C" w:rsidRPr="001F67A3" w:rsidRDefault="004B201C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Waloryzacja opłaty</w:t>
            </w:r>
          </w:p>
        </w:tc>
        <w:tc>
          <w:tcPr>
            <w:tcW w:w="3951" w:type="dxa"/>
          </w:tcPr>
          <w:p w:rsidR="004B201C" w:rsidRPr="001F67A3" w:rsidRDefault="008A4E12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Nie ma zapisów w ustawie.</w:t>
            </w:r>
          </w:p>
        </w:tc>
        <w:tc>
          <w:tcPr>
            <w:tcW w:w="3951" w:type="dxa"/>
          </w:tcPr>
          <w:p w:rsidR="00E71B45" w:rsidRPr="001F67A3" w:rsidRDefault="004B201C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Opłata roczna może podlegać waloryzacji zgodnie z zasadami, o których mowa w art. 5 ustawy o gospodarce nieruchomościami.</w:t>
            </w:r>
            <w:r w:rsidR="00E71B45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Waloryzacji opłaty </w:t>
            </w:r>
            <w:proofErr w:type="spellStart"/>
            <w:r w:rsidR="00E71B45" w:rsidRPr="001F67A3">
              <w:rPr>
                <w:rFonts w:eastAsia="Times New Roman"/>
                <w:sz w:val="20"/>
                <w:szCs w:val="20"/>
                <w:lang w:eastAsia="pl-PL"/>
              </w:rPr>
              <w:t>przekształceniowej</w:t>
            </w:r>
            <w:proofErr w:type="spellEnd"/>
            <w:r w:rsidR="00E71B45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dokonuje się z urzędu albo na wniosek właściciela nieruchomości, nie częściej niż raz na 3 lata od dnia dokonania ostatniej waloryzacji. </w:t>
            </w:r>
          </w:p>
          <w:p w:rsidR="00E71B45" w:rsidRPr="001F67A3" w:rsidRDefault="00E71B4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Zwaloryzowana opłata obowiązuje od dnia 1 stycznia roku następującego po roku, w którym dokonano waloryzacji.</w:t>
            </w:r>
          </w:p>
          <w:p w:rsidR="004B201C" w:rsidRDefault="00E71B45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Można odmówić dokonania waloryzacji jedynie w przypadku, jeżeli wskaźniki, o których mowa w art. 5 ustawy o gospodarce nieruchomościami, nie uległy zmianie w okresie od dnia przekształcenia lub ostatniej waloryzacji do dnia złożenia wniosku.</w:t>
            </w:r>
          </w:p>
          <w:p w:rsidR="00E70264" w:rsidRPr="005E5B15" w:rsidRDefault="00E70264" w:rsidP="001F67A3">
            <w:pPr>
              <w:rPr>
                <w:rFonts w:eastAsia="Times New Roman"/>
                <w:sz w:val="12"/>
                <w:szCs w:val="20"/>
                <w:lang w:eastAsia="pl-PL"/>
              </w:rPr>
            </w:pPr>
          </w:p>
        </w:tc>
      </w:tr>
      <w:tr w:rsidR="00E70264" w:rsidRPr="001F67A3" w:rsidTr="00E70264">
        <w:tc>
          <w:tcPr>
            <w:tcW w:w="1668" w:type="dxa"/>
          </w:tcPr>
          <w:p w:rsidR="006A5F21" w:rsidRPr="001F67A3" w:rsidRDefault="001D1327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Termin wnoszenia</w:t>
            </w:r>
          </w:p>
        </w:tc>
        <w:tc>
          <w:tcPr>
            <w:tcW w:w="3951" w:type="dxa"/>
          </w:tcPr>
          <w:p w:rsidR="006A5F21" w:rsidRPr="001F67A3" w:rsidRDefault="006207F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sz w:val="20"/>
                <w:szCs w:val="20"/>
              </w:rPr>
              <w:t>w terminie 14 dni od dnia, w którym decyzja stanie się ostateczna</w:t>
            </w:r>
          </w:p>
        </w:tc>
        <w:tc>
          <w:tcPr>
            <w:tcW w:w="3951" w:type="dxa"/>
          </w:tcPr>
          <w:p w:rsidR="006A5F21" w:rsidRDefault="001C60B6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Opłatę wnosi się w terminie do dnia 31 marca każdego roku. Opłata jest wnoszona przez okres 20 lat, licząc od dnia przekształcenia.</w:t>
            </w:r>
          </w:p>
          <w:p w:rsidR="00E70264" w:rsidRPr="001F67A3" w:rsidRDefault="00E70264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9E026D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Możliwość rozłożenia na raty</w:t>
            </w:r>
          </w:p>
        </w:tc>
        <w:tc>
          <w:tcPr>
            <w:tcW w:w="3951" w:type="dxa"/>
          </w:tcPr>
          <w:p w:rsidR="001D322A" w:rsidRDefault="001C60B6" w:rsidP="001F67A3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Opłatę rozkłada się, na wniosek użytkownika wieczystego, na raty, na czas nie krótszy niż 10 lat i nie dłuższy niż 20 lat, chyba że wnioskodawca wystąpi o okres krótszy niż 10 lat.</w:t>
            </w:r>
            <w:r w:rsidR="005577EA" w:rsidRPr="001F67A3">
              <w:rPr>
                <w:sz w:val="20"/>
                <w:szCs w:val="20"/>
              </w:rPr>
              <w:t xml:space="preserve"> Nieuiszczona część opłaty podlega oprocentowaniu przy zastosowaniu stopy procentowej równej stopie redyskonta weksli stosowanej przez Narodowy Bank Polski (obecnie wynosi 1,75).</w:t>
            </w:r>
          </w:p>
          <w:p w:rsidR="00E70264" w:rsidRPr="005E5B15" w:rsidRDefault="00E70264" w:rsidP="001F67A3">
            <w:pPr>
              <w:rPr>
                <w:rFonts w:eastAsia="Times New Roman"/>
                <w:sz w:val="12"/>
                <w:szCs w:val="20"/>
                <w:lang w:eastAsia="pl-PL"/>
              </w:rPr>
            </w:pPr>
          </w:p>
        </w:tc>
        <w:tc>
          <w:tcPr>
            <w:tcW w:w="3951" w:type="dxa"/>
          </w:tcPr>
          <w:p w:rsidR="005F5B78" w:rsidRPr="001F67A3" w:rsidRDefault="005F5B78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Na wniosek złożony nie później niż 14 dni przed dniem upływu terminu płatności Burmistrz  może rozłożyć opłatę na raty lub ustalić inny termin jej wniesienia, nieprzekraczający danego roku kalendarzowego.</w:t>
            </w:r>
          </w:p>
          <w:p w:rsidR="001D322A" w:rsidRPr="001F67A3" w:rsidRDefault="001D322A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352C0" w:rsidRPr="001F67A3" w:rsidTr="00E70264">
        <w:tc>
          <w:tcPr>
            <w:tcW w:w="1668" w:type="dxa"/>
          </w:tcPr>
          <w:p w:rsidR="004352C0" w:rsidRPr="001F67A3" w:rsidRDefault="005577EA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Wpis </w:t>
            </w:r>
            <w:r w:rsidR="00801065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księdze wieczystej w dziale III lub IV </w:t>
            </w:r>
          </w:p>
        </w:tc>
        <w:tc>
          <w:tcPr>
            <w:tcW w:w="3951" w:type="dxa"/>
          </w:tcPr>
          <w:p w:rsidR="004352C0" w:rsidRPr="001F67A3" w:rsidRDefault="005577EA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zabezpieczeni</w:t>
            </w:r>
            <w:r w:rsidR="00A07D76" w:rsidRPr="001F67A3">
              <w:rPr>
                <w:sz w:val="20"/>
                <w:szCs w:val="20"/>
              </w:rPr>
              <w:t>e</w:t>
            </w:r>
            <w:r w:rsidRPr="001F67A3">
              <w:rPr>
                <w:sz w:val="20"/>
                <w:szCs w:val="20"/>
              </w:rPr>
              <w:t xml:space="preserve"> hipoteką przymusową </w:t>
            </w:r>
          </w:p>
        </w:tc>
        <w:tc>
          <w:tcPr>
            <w:tcW w:w="3951" w:type="dxa"/>
          </w:tcPr>
          <w:p w:rsidR="004352C0" w:rsidRPr="001F67A3" w:rsidRDefault="00801065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roszczeni</w:t>
            </w:r>
            <w:r w:rsidR="00A07D76" w:rsidRPr="001F67A3">
              <w:rPr>
                <w:rFonts w:eastAsia="Times New Roman"/>
                <w:sz w:val="20"/>
                <w:szCs w:val="20"/>
                <w:lang w:eastAsia="pl-PL"/>
              </w:rPr>
              <w:t>e</w:t>
            </w: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o opłatę, w odniesieniu do każdoczesnego właściciela nieruchomości</w:t>
            </w:r>
          </w:p>
        </w:tc>
      </w:tr>
      <w:tr w:rsidR="00A07D76" w:rsidRPr="001F67A3" w:rsidTr="00E70264">
        <w:tc>
          <w:tcPr>
            <w:tcW w:w="1668" w:type="dxa"/>
          </w:tcPr>
          <w:p w:rsidR="00A07D76" w:rsidRPr="001F67A3" w:rsidRDefault="00A07D76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Opłata za wykreślenie obciążeń i roszczeń</w:t>
            </w:r>
          </w:p>
        </w:tc>
        <w:tc>
          <w:tcPr>
            <w:tcW w:w="3951" w:type="dxa"/>
          </w:tcPr>
          <w:p w:rsidR="00A07D76" w:rsidRPr="001F67A3" w:rsidRDefault="00A07D76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Podlega opłacie – 100 zł</w:t>
            </w:r>
          </w:p>
        </w:tc>
        <w:tc>
          <w:tcPr>
            <w:tcW w:w="3951" w:type="dxa"/>
          </w:tcPr>
          <w:p w:rsidR="00A07D76" w:rsidRPr="001F67A3" w:rsidRDefault="00A07D76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1) 250 zł - w przypadku</w:t>
            </w:r>
            <w:r w:rsidR="001F67A3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wniesienia opłaty jednorazowej</w:t>
            </w:r>
          </w:p>
          <w:p w:rsidR="00A07D76" w:rsidRDefault="00A07D76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2) 75</w:t>
            </w:r>
            <w:r w:rsidR="001F67A3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zł - w pozostałych przypadkach</w:t>
            </w:r>
          </w:p>
          <w:p w:rsidR="00E70264" w:rsidRPr="005E5B15" w:rsidRDefault="00E70264" w:rsidP="001F67A3">
            <w:pPr>
              <w:rPr>
                <w:rFonts w:eastAsia="Times New Roman"/>
                <w:sz w:val="12"/>
                <w:szCs w:val="20"/>
                <w:lang w:eastAsia="pl-PL"/>
              </w:rPr>
            </w:pP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6E673F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Możliwość</w:t>
            </w:r>
            <w:r w:rsidR="009E026D"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udzielenia bonifikaty</w:t>
            </w:r>
          </w:p>
        </w:tc>
        <w:tc>
          <w:tcPr>
            <w:tcW w:w="3951" w:type="dxa"/>
          </w:tcPr>
          <w:p w:rsidR="005F5B78" w:rsidRPr="001F67A3" w:rsidRDefault="005F5B78" w:rsidP="00182D34">
            <w:pPr>
              <w:rPr>
                <w:sz w:val="20"/>
                <w:szCs w:val="20"/>
              </w:rPr>
            </w:pPr>
            <w:r w:rsidRPr="001F67A3">
              <w:rPr>
                <w:rStyle w:val="alb"/>
                <w:sz w:val="20"/>
                <w:szCs w:val="20"/>
              </w:rPr>
              <w:t xml:space="preserve">Zgodnie z art. 4 ust. 7 </w:t>
            </w:r>
            <w:r w:rsidR="009A1A35" w:rsidRPr="001F67A3">
              <w:rPr>
                <w:rStyle w:val="alb"/>
                <w:sz w:val="20"/>
                <w:szCs w:val="20"/>
              </w:rPr>
              <w:t xml:space="preserve">ustawy </w:t>
            </w:r>
            <w:r w:rsidRPr="001F67A3">
              <w:rPr>
                <w:rStyle w:val="alb"/>
                <w:sz w:val="20"/>
                <w:szCs w:val="20"/>
              </w:rPr>
              <w:t>Burmistrz</w:t>
            </w:r>
            <w:r w:rsidRPr="001F67A3">
              <w:rPr>
                <w:sz w:val="20"/>
                <w:szCs w:val="20"/>
              </w:rPr>
              <w:t xml:space="preserve"> może udzielić bonifikaty od opłaty na podstawie uchwały rady.</w:t>
            </w:r>
          </w:p>
          <w:p w:rsidR="005F5B78" w:rsidRPr="001F67A3" w:rsidRDefault="005F5B78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W uchwale rady określa się w szczególności warunki udzielania bonifikat i wysokość stawek procentowych.</w:t>
            </w:r>
          </w:p>
          <w:p w:rsidR="001D322A" w:rsidRPr="001F67A3" w:rsidRDefault="009E026D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sz w:val="20"/>
                <w:szCs w:val="20"/>
              </w:rPr>
              <w:t xml:space="preserve">Do </w:t>
            </w:r>
            <w:r w:rsidRPr="00DB6C2E">
              <w:rPr>
                <w:rFonts w:eastAsia="Times New Roman"/>
                <w:sz w:val="20"/>
                <w:szCs w:val="20"/>
                <w:lang w:eastAsia="pl-PL"/>
              </w:rPr>
              <w:t>31.12.2012 r.</w:t>
            </w: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obowiązywała uchwała nr </w:t>
            </w:r>
            <w:r w:rsidRPr="00DB6C2E">
              <w:rPr>
                <w:rFonts w:eastAsia="Times New Roman"/>
                <w:sz w:val="20"/>
                <w:szCs w:val="20"/>
                <w:lang w:eastAsia="pl-PL"/>
              </w:rPr>
              <w:t>XIII/82/11</w:t>
            </w: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Rady Miejskiej </w:t>
            </w:r>
            <w:r w:rsidRPr="001F67A3">
              <w:rPr>
                <w:rFonts w:eastAsia="Times New Roman"/>
                <w:iCs/>
                <w:sz w:val="20"/>
                <w:szCs w:val="20"/>
                <w:lang w:eastAsia="pl-PL"/>
              </w:rPr>
              <w:t xml:space="preserve">Pniewy </w:t>
            </w:r>
            <w:r w:rsidRPr="00DB6C2E">
              <w:rPr>
                <w:rFonts w:eastAsia="Times New Roman"/>
                <w:sz w:val="20"/>
                <w:szCs w:val="20"/>
                <w:lang w:eastAsia="pl-PL"/>
              </w:rPr>
              <w:t>z dnia 27 października 2011 r.</w:t>
            </w:r>
          </w:p>
        </w:tc>
        <w:tc>
          <w:tcPr>
            <w:tcW w:w="3951" w:type="dxa"/>
          </w:tcPr>
          <w:p w:rsidR="009E026D" w:rsidRPr="001F67A3" w:rsidRDefault="009E026D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Zgodnie z art. 9 ustawy Burmistrz może udzielić osobom fizycznym będącym właścicielami budynków mieszkalnych jednorodzinnych lub lokali mieszkalnych bonifikaty:</w:t>
            </w:r>
          </w:p>
          <w:p w:rsidR="009E026D" w:rsidRPr="001F67A3" w:rsidRDefault="009E026D" w:rsidP="00182D34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od opłaty za dany rok,</w:t>
            </w:r>
          </w:p>
          <w:p w:rsidR="009E026D" w:rsidRPr="001F67A3" w:rsidRDefault="009E026D" w:rsidP="00182D34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od opłaty jednorazowej,</w:t>
            </w:r>
          </w:p>
          <w:p w:rsidR="009E026D" w:rsidRPr="001F67A3" w:rsidRDefault="009E026D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- na podstawie uchwały  rady.</w:t>
            </w:r>
          </w:p>
          <w:p w:rsidR="001D322A" w:rsidRDefault="009A1A35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W uchwale określa się w szczególności warunki udzielania bonifikat i wysokość stawek procentowych.</w:t>
            </w:r>
          </w:p>
          <w:p w:rsidR="00E70264" w:rsidRPr="005E5B15" w:rsidRDefault="00E70264" w:rsidP="001F67A3">
            <w:pPr>
              <w:rPr>
                <w:rFonts w:eastAsia="Times New Roman"/>
                <w:sz w:val="12"/>
                <w:szCs w:val="20"/>
                <w:lang w:eastAsia="pl-PL"/>
              </w:rPr>
            </w:pPr>
          </w:p>
        </w:tc>
      </w:tr>
      <w:tr w:rsidR="00F15D98" w:rsidRPr="001F67A3" w:rsidTr="00E70264">
        <w:tc>
          <w:tcPr>
            <w:tcW w:w="1668" w:type="dxa"/>
          </w:tcPr>
          <w:p w:rsidR="001D322A" w:rsidRPr="001F67A3" w:rsidRDefault="003A0C17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Bonifikaty obligatoryjne</w:t>
            </w:r>
          </w:p>
        </w:tc>
        <w:tc>
          <w:tcPr>
            <w:tcW w:w="3951" w:type="dxa"/>
          </w:tcPr>
          <w:p w:rsidR="003A0C17" w:rsidRPr="001F67A3" w:rsidRDefault="003A0C17" w:rsidP="00182D34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W odniesieniu do nieruchomości stanowiących własność Skarbu Państwa osobom fizycznym, które prawo użytkowania wieczystego uzyskały przed dniem 5 grudnia 1990 r., oraz ich następcom prawnym udziela się, na ich wniosek, 50% bonifikaty od opłaty.</w:t>
            </w:r>
          </w:p>
          <w:p w:rsidR="001D322A" w:rsidRPr="001F67A3" w:rsidRDefault="003A0C17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sz w:val="20"/>
                <w:szCs w:val="20"/>
              </w:rPr>
              <w:t>W odniesieniu do nieruchomości lub jej części wpisanej do rejestru zabytków, opłatę</w:t>
            </w:r>
            <w:r w:rsidR="000505C5" w:rsidRPr="001F67A3">
              <w:rPr>
                <w:sz w:val="20"/>
                <w:szCs w:val="20"/>
              </w:rPr>
              <w:t xml:space="preserve"> </w:t>
            </w:r>
            <w:r w:rsidRPr="001F67A3">
              <w:rPr>
                <w:sz w:val="20"/>
                <w:szCs w:val="20"/>
              </w:rPr>
              <w:t>obniża się o 50 %.</w:t>
            </w:r>
          </w:p>
        </w:tc>
        <w:tc>
          <w:tcPr>
            <w:tcW w:w="3951" w:type="dxa"/>
          </w:tcPr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W przypadku gruntu stanowiącego własność Skarbu Państwa zgodnie z ustawą przysługuje bonifikata od opłaty jednorazowej w wysokości:</w:t>
            </w:r>
          </w:p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1) 60% - w przypadku gdy opłata zostanie wniesiona w roku, w którym nastąpiło przekształcenie;</w:t>
            </w:r>
          </w:p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2) 50% - w przypadku gdy opłata zostanie wniesiona w drugim roku po przekształceniu;</w:t>
            </w:r>
          </w:p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3) 40% - w przypadku gdy opłata zostanie wniesiona w trzecim roku po przekształceniu;</w:t>
            </w:r>
          </w:p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4) 30% - w przypadku gdy opłata zostanie wniesiona w czwartym roku po przekształceniu;</w:t>
            </w:r>
          </w:p>
          <w:p w:rsidR="000505C5" w:rsidRPr="001F67A3" w:rsidRDefault="000505C5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5) 20% - w przypadku gdy opłata zostanie wniesiona w piątym roku po przekształceniu;</w:t>
            </w:r>
          </w:p>
          <w:p w:rsidR="00E70264" w:rsidRPr="001F67A3" w:rsidRDefault="000505C5" w:rsidP="001F67A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6) 10% - w przypadku gdy opłata zostanie wniesiona w szóstym roku po przekształceniu.</w:t>
            </w:r>
          </w:p>
        </w:tc>
      </w:tr>
      <w:tr w:rsidR="000505C5" w:rsidRPr="001F67A3" w:rsidTr="00E70264">
        <w:tc>
          <w:tcPr>
            <w:tcW w:w="1668" w:type="dxa"/>
          </w:tcPr>
          <w:p w:rsidR="000505C5" w:rsidRPr="001F67A3" w:rsidRDefault="006C4E5C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Możliwość żądania zwrotu udzielonej bonifikaty</w:t>
            </w:r>
          </w:p>
        </w:tc>
        <w:tc>
          <w:tcPr>
            <w:tcW w:w="3951" w:type="dxa"/>
          </w:tcPr>
          <w:p w:rsidR="00E70264" w:rsidRPr="001F67A3" w:rsidRDefault="006C4E5C" w:rsidP="00B2188E">
            <w:pPr>
              <w:rPr>
                <w:sz w:val="20"/>
                <w:szCs w:val="20"/>
              </w:rPr>
            </w:pPr>
            <w:r w:rsidRPr="001F67A3">
              <w:rPr>
                <w:sz w:val="20"/>
                <w:szCs w:val="20"/>
              </w:rPr>
              <w:t>Z</w:t>
            </w:r>
            <w:r w:rsidR="000505C5" w:rsidRPr="001F67A3">
              <w:rPr>
                <w:sz w:val="20"/>
                <w:szCs w:val="20"/>
              </w:rPr>
              <w:t>wrot kwoty równej udzielonej bonifikacie po jej waloryzacji, jeżeli osoba, na rzecz której zostało przekształcone prawo użytkowania wieczystego w prawo własności nieruchomości przed upływem 5 lat, licząc od dnia przekształcenia, zbyła lub wykorzystała nieruchomość na inne cele niż cele, które stanowiły podstawę udzielenia bonifikaty. Nie dotyczy to zbycia na rzecz osoby bliskiej w rozumieniu art. 4 pkt 13 ustawy z dnia 21 sierpnia 1997 r. o gospodarce nieruchomościami. W szczególnie uzasadnionych przypadkach Burmistrz może odstąpić od żądania zwrotu bonifikaty, za zgodą rady.</w:t>
            </w:r>
          </w:p>
        </w:tc>
        <w:tc>
          <w:tcPr>
            <w:tcW w:w="3951" w:type="dxa"/>
          </w:tcPr>
          <w:p w:rsidR="000505C5" w:rsidRPr="001F67A3" w:rsidRDefault="006C4E5C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Nie ma zapisu w ustawie</w:t>
            </w:r>
          </w:p>
        </w:tc>
      </w:tr>
      <w:tr w:rsidR="00480EA9" w:rsidRPr="001F67A3" w:rsidTr="00E70264">
        <w:tc>
          <w:tcPr>
            <w:tcW w:w="1668" w:type="dxa"/>
          </w:tcPr>
          <w:p w:rsidR="00480EA9" w:rsidRPr="001F67A3" w:rsidRDefault="002B46C7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Przekształcenie nieodpłatne</w:t>
            </w:r>
          </w:p>
        </w:tc>
        <w:tc>
          <w:tcPr>
            <w:tcW w:w="3951" w:type="dxa"/>
          </w:tcPr>
          <w:p w:rsidR="002B46C7" w:rsidRPr="001F67A3" w:rsidRDefault="00480EA9" w:rsidP="00182D34">
            <w:pPr>
              <w:rPr>
                <w:sz w:val="20"/>
                <w:szCs w:val="20"/>
              </w:rPr>
            </w:pPr>
            <w:r w:rsidRPr="00480EA9">
              <w:rPr>
                <w:rFonts w:eastAsia="Times New Roman"/>
                <w:sz w:val="20"/>
                <w:szCs w:val="20"/>
                <w:lang w:eastAsia="pl-PL"/>
              </w:rPr>
              <w:t>Przekształcenie prawa użytkowania wieczystego w prawo własności nieruchomości następuje nieodpłatnie na rzecz</w:t>
            </w: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B46C7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osób fizycznych </w:t>
            </w:r>
            <w:r w:rsidRPr="00480EA9">
              <w:rPr>
                <w:rFonts w:eastAsia="Times New Roman"/>
                <w:sz w:val="20"/>
                <w:szCs w:val="20"/>
                <w:lang w:eastAsia="pl-PL"/>
              </w:rPr>
              <w:t>lub ich następców prawnych</w:t>
            </w:r>
            <w:r w:rsidR="002B46C7"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="002B46C7" w:rsidRPr="001F67A3">
              <w:rPr>
                <w:sz w:val="20"/>
                <w:szCs w:val="20"/>
              </w:rPr>
              <w:t>będące w dniu 13 października 2005 r. użytkownikami wieczystymi nieruchomości, jeżeli użytkowanie wieczyste uzyskały:</w:t>
            </w:r>
          </w:p>
          <w:p w:rsidR="002B46C7" w:rsidRPr="001F67A3" w:rsidRDefault="002B46C7" w:rsidP="00182D34">
            <w:pPr>
              <w:rPr>
                <w:sz w:val="20"/>
                <w:szCs w:val="20"/>
              </w:rPr>
            </w:pPr>
            <w:r w:rsidRPr="001F67A3">
              <w:rPr>
                <w:rStyle w:val="alb"/>
                <w:sz w:val="20"/>
                <w:szCs w:val="20"/>
              </w:rPr>
              <w:t xml:space="preserve">1) </w:t>
            </w:r>
            <w:r w:rsidRPr="001F67A3">
              <w:rPr>
                <w:sz w:val="20"/>
                <w:szCs w:val="20"/>
              </w:rPr>
              <w:t>w zamian za wywłaszczenie lub przejęcie nieruchomości gruntowej na rzecz Skarbu Państwa na podstawie innych tytułów, przed dniem 5 grudnia 1990 r.;</w:t>
            </w:r>
          </w:p>
          <w:p w:rsidR="002B46C7" w:rsidRDefault="002B46C7" w:rsidP="001F67A3">
            <w:pPr>
              <w:rPr>
                <w:sz w:val="20"/>
                <w:szCs w:val="20"/>
              </w:rPr>
            </w:pPr>
            <w:r w:rsidRPr="001F67A3">
              <w:rPr>
                <w:rStyle w:val="alb"/>
                <w:sz w:val="20"/>
                <w:szCs w:val="20"/>
              </w:rPr>
              <w:t xml:space="preserve">2) </w:t>
            </w:r>
            <w:r w:rsidRPr="001F67A3">
              <w:rPr>
                <w:sz w:val="20"/>
                <w:szCs w:val="20"/>
              </w:rPr>
              <w:t>na podstawie art. 7 dekretu z dnia 26 października 1945 r. o własności i użytkowaniu gruntów na obszarze m.st. Warszawy (Dz. U. Nr 50, poz. 279)</w:t>
            </w:r>
          </w:p>
          <w:p w:rsidR="00E70264" w:rsidRPr="001F67A3" w:rsidRDefault="00E70264" w:rsidP="001F67A3">
            <w:pPr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:rsidR="00480EA9" w:rsidRPr="001F67A3" w:rsidRDefault="00480EA9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Za przekształcenie opłaty nie wnoszą osoby fizyczne lub ich spadkobiercy w przypadku gdy wniosły jednorazowo opłaty roczne za cały okres użytkowania wieczystego.</w:t>
            </w:r>
          </w:p>
        </w:tc>
      </w:tr>
      <w:tr w:rsidR="006347D4" w:rsidRPr="001F67A3" w:rsidTr="00E70264">
        <w:tc>
          <w:tcPr>
            <w:tcW w:w="1668" w:type="dxa"/>
          </w:tcPr>
          <w:p w:rsidR="006347D4" w:rsidRPr="001F67A3" w:rsidRDefault="006347D4" w:rsidP="001F67A3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b/>
                <w:sz w:val="20"/>
                <w:szCs w:val="20"/>
                <w:lang w:eastAsia="pl-PL"/>
              </w:rPr>
              <w:t>Uwzględnienie przepisów o pomocy publicznej.</w:t>
            </w:r>
          </w:p>
        </w:tc>
        <w:tc>
          <w:tcPr>
            <w:tcW w:w="3951" w:type="dxa"/>
          </w:tcPr>
          <w:p w:rsidR="006347D4" w:rsidRPr="001F67A3" w:rsidRDefault="006347D4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 xml:space="preserve">stosuje się </w:t>
            </w:r>
          </w:p>
        </w:tc>
        <w:tc>
          <w:tcPr>
            <w:tcW w:w="3951" w:type="dxa"/>
          </w:tcPr>
          <w:p w:rsidR="006347D4" w:rsidRPr="001F67A3" w:rsidRDefault="006347D4" w:rsidP="00182D3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F67A3">
              <w:rPr>
                <w:rFonts w:eastAsia="Times New Roman"/>
                <w:sz w:val="20"/>
                <w:szCs w:val="20"/>
                <w:lang w:eastAsia="pl-PL"/>
              </w:rPr>
              <w:t>stosuje się</w:t>
            </w:r>
          </w:p>
        </w:tc>
      </w:tr>
    </w:tbl>
    <w:p w:rsidR="001D322A" w:rsidRPr="00FC2F64" w:rsidRDefault="001D322A" w:rsidP="00863B42">
      <w:pPr>
        <w:spacing w:after="0" w:line="240" w:lineRule="auto"/>
        <w:jc w:val="both"/>
        <w:rPr>
          <w:rFonts w:eastAsia="Times New Roman"/>
          <w:lang w:eastAsia="pl-PL"/>
        </w:rPr>
      </w:pPr>
      <w:bookmarkStart w:id="0" w:name="_GoBack"/>
      <w:bookmarkEnd w:id="0"/>
    </w:p>
    <w:p w:rsidR="00C4755F" w:rsidRPr="00C4755F" w:rsidRDefault="00C4755F">
      <w:pPr>
        <w:pStyle w:val="Stopka"/>
        <w:rPr>
          <w:rFonts w:ascii="Times New Roman" w:hAnsi="Times New Roman" w:cs="Times New Roman"/>
          <w:sz w:val="18"/>
          <w:szCs w:val="18"/>
        </w:rPr>
      </w:pPr>
      <w:r w:rsidRPr="00C4755F">
        <w:rPr>
          <w:rFonts w:ascii="Times New Roman" w:hAnsi="Times New Roman" w:cs="Times New Roman"/>
          <w:sz w:val="18"/>
          <w:szCs w:val="18"/>
        </w:rPr>
        <w:t xml:space="preserve">Sporządziła : Anna </w:t>
      </w:r>
      <w:proofErr w:type="spellStart"/>
      <w:r w:rsidRPr="00C4755F">
        <w:rPr>
          <w:rFonts w:ascii="Times New Roman" w:hAnsi="Times New Roman" w:cs="Times New Roman"/>
          <w:sz w:val="18"/>
          <w:szCs w:val="18"/>
        </w:rPr>
        <w:t>Straśko</w:t>
      </w:r>
      <w:proofErr w:type="spellEnd"/>
    </w:p>
    <w:p w:rsidR="006A333C" w:rsidRPr="00FC2F64" w:rsidRDefault="006A333C" w:rsidP="00863B42">
      <w:pPr>
        <w:spacing w:after="0" w:line="240" w:lineRule="auto"/>
        <w:jc w:val="both"/>
      </w:pPr>
    </w:p>
    <w:sectPr w:rsidR="006A333C" w:rsidRPr="00FC2F64" w:rsidSect="006347D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082"/>
    <w:multiLevelType w:val="hybridMultilevel"/>
    <w:tmpl w:val="4A54F8CA"/>
    <w:lvl w:ilvl="0" w:tplc="154A2E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B0E59"/>
    <w:multiLevelType w:val="hybridMultilevel"/>
    <w:tmpl w:val="46B28D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E435F"/>
    <w:multiLevelType w:val="hybridMultilevel"/>
    <w:tmpl w:val="8876AF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43602"/>
    <w:multiLevelType w:val="hybridMultilevel"/>
    <w:tmpl w:val="1D0E2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313B5"/>
    <w:multiLevelType w:val="hybridMultilevel"/>
    <w:tmpl w:val="46B28D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916E3"/>
    <w:multiLevelType w:val="multilevel"/>
    <w:tmpl w:val="560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57636"/>
    <w:multiLevelType w:val="hybridMultilevel"/>
    <w:tmpl w:val="805CD04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D1787"/>
    <w:multiLevelType w:val="hybridMultilevel"/>
    <w:tmpl w:val="A25E6FD0"/>
    <w:lvl w:ilvl="0" w:tplc="029456A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1290E"/>
    <w:multiLevelType w:val="hybridMultilevel"/>
    <w:tmpl w:val="8B081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4937A0"/>
    <w:multiLevelType w:val="hybridMultilevel"/>
    <w:tmpl w:val="8876AF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6E2555"/>
    <w:multiLevelType w:val="hybridMultilevel"/>
    <w:tmpl w:val="CEF2A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965ACE"/>
    <w:multiLevelType w:val="hybridMultilevel"/>
    <w:tmpl w:val="CEF2A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10AA1"/>
    <w:multiLevelType w:val="hybridMultilevel"/>
    <w:tmpl w:val="D04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B7DAD"/>
    <w:multiLevelType w:val="hybridMultilevel"/>
    <w:tmpl w:val="0A48F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59F2"/>
    <w:multiLevelType w:val="multilevel"/>
    <w:tmpl w:val="BB7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6068E"/>
    <w:multiLevelType w:val="hybridMultilevel"/>
    <w:tmpl w:val="6C009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4A"/>
    <w:rsid w:val="000505C5"/>
    <w:rsid w:val="00072007"/>
    <w:rsid w:val="00096309"/>
    <w:rsid w:val="000E70C7"/>
    <w:rsid w:val="00134B64"/>
    <w:rsid w:val="00182D34"/>
    <w:rsid w:val="0018571E"/>
    <w:rsid w:val="00197B47"/>
    <w:rsid w:val="001C60B6"/>
    <w:rsid w:val="001D1327"/>
    <w:rsid w:val="001D322A"/>
    <w:rsid w:val="001F67A3"/>
    <w:rsid w:val="002825C0"/>
    <w:rsid w:val="002B35D2"/>
    <w:rsid w:val="002B46C7"/>
    <w:rsid w:val="002C2C9F"/>
    <w:rsid w:val="00330314"/>
    <w:rsid w:val="003A0C17"/>
    <w:rsid w:val="003C563D"/>
    <w:rsid w:val="003F502D"/>
    <w:rsid w:val="004174A8"/>
    <w:rsid w:val="00423911"/>
    <w:rsid w:val="004352C0"/>
    <w:rsid w:val="0047415F"/>
    <w:rsid w:val="00480EA9"/>
    <w:rsid w:val="00496063"/>
    <w:rsid w:val="004A4CE2"/>
    <w:rsid w:val="004A62A2"/>
    <w:rsid w:val="004B201C"/>
    <w:rsid w:val="004E3A50"/>
    <w:rsid w:val="004E3F59"/>
    <w:rsid w:val="00550B79"/>
    <w:rsid w:val="005577EA"/>
    <w:rsid w:val="005E5B15"/>
    <w:rsid w:val="005F5B78"/>
    <w:rsid w:val="006207F5"/>
    <w:rsid w:val="0062290E"/>
    <w:rsid w:val="00631AAC"/>
    <w:rsid w:val="006347D4"/>
    <w:rsid w:val="00642509"/>
    <w:rsid w:val="00643532"/>
    <w:rsid w:val="0064518C"/>
    <w:rsid w:val="00652BEE"/>
    <w:rsid w:val="00694B03"/>
    <w:rsid w:val="0069574A"/>
    <w:rsid w:val="006A333C"/>
    <w:rsid w:val="006A5F21"/>
    <w:rsid w:val="006B0C1A"/>
    <w:rsid w:val="006C431F"/>
    <w:rsid w:val="006C4E5C"/>
    <w:rsid w:val="006E673F"/>
    <w:rsid w:val="00717B55"/>
    <w:rsid w:val="00755609"/>
    <w:rsid w:val="00766925"/>
    <w:rsid w:val="007C5EB0"/>
    <w:rsid w:val="007C7677"/>
    <w:rsid w:val="00801065"/>
    <w:rsid w:val="008313D2"/>
    <w:rsid w:val="00855504"/>
    <w:rsid w:val="00863B42"/>
    <w:rsid w:val="008A4E12"/>
    <w:rsid w:val="008D583E"/>
    <w:rsid w:val="00914DD9"/>
    <w:rsid w:val="009253C8"/>
    <w:rsid w:val="00997633"/>
    <w:rsid w:val="009A1A35"/>
    <w:rsid w:val="009B5438"/>
    <w:rsid w:val="009B676B"/>
    <w:rsid w:val="009E026D"/>
    <w:rsid w:val="009E666B"/>
    <w:rsid w:val="00A05242"/>
    <w:rsid w:val="00A07D76"/>
    <w:rsid w:val="00A36B18"/>
    <w:rsid w:val="00A427C4"/>
    <w:rsid w:val="00A61A8F"/>
    <w:rsid w:val="00A64B36"/>
    <w:rsid w:val="00A73703"/>
    <w:rsid w:val="00AA6BF2"/>
    <w:rsid w:val="00AD01E5"/>
    <w:rsid w:val="00B0672B"/>
    <w:rsid w:val="00B2188E"/>
    <w:rsid w:val="00B62C0C"/>
    <w:rsid w:val="00C111FB"/>
    <w:rsid w:val="00C42035"/>
    <w:rsid w:val="00C4755F"/>
    <w:rsid w:val="00C755D0"/>
    <w:rsid w:val="00CC410D"/>
    <w:rsid w:val="00D524A3"/>
    <w:rsid w:val="00D85382"/>
    <w:rsid w:val="00DB6C2E"/>
    <w:rsid w:val="00DC2681"/>
    <w:rsid w:val="00E129DF"/>
    <w:rsid w:val="00E5687F"/>
    <w:rsid w:val="00E70264"/>
    <w:rsid w:val="00E71B45"/>
    <w:rsid w:val="00E72968"/>
    <w:rsid w:val="00E818BC"/>
    <w:rsid w:val="00E969BA"/>
    <w:rsid w:val="00EF08A4"/>
    <w:rsid w:val="00F15D98"/>
    <w:rsid w:val="00F5060C"/>
    <w:rsid w:val="00F57EFF"/>
    <w:rsid w:val="00FC2F64"/>
    <w:rsid w:val="00FE207C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9574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574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9574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9574A"/>
    <w:rPr>
      <w:rFonts w:eastAsia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74A"/>
    <w:rPr>
      <w:color w:val="0000FF"/>
      <w:u w:val="single"/>
    </w:rPr>
  </w:style>
  <w:style w:type="paragraph" w:customStyle="1" w:styleId="wazne">
    <w:name w:val="wazne"/>
    <w:basedOn w:val="Normalny"/>
    <w:rsid w:val="0069574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g-binding">
    <w:name w:val="ng-binding"/>
    <w:basedOn w:val="Domylnaczcionkaakapitu"/>
    <w:rsid w:val="003F502D"/>
  </w:style>
  <w:style w:type="character" w:customStyle="1" w:styleId="alb">
    <w:name w:val="a_lb"/>
    <w:basedOn w:val="Domylnaczcionkaakapitu"/>
    <w:rsid w:val="00755609"/>
  </w:style>
  <w:style w:type="character" w:customStyle="1" w:styleId="alb-s">
    <w:name w:val="a_lb-s"/>
    <w:basedOn w:val="Domylnaczcionkaakapitu"/>
    <w:rsid w:val="00755609"/>
  </w:style>
  <w:style w:type="character" w:customStyle="1" w:styleId="text-justify">
    <w:name w:val="text-justify"/>
    <w:basedOn w:val="Domylnaczcionkaakapitu"/>
    <w:rsid w:val="00FE207C"/>
  </w:style>
  <w:style w:type="paragraph" w:customStyle="1" w:styleId="text-center">
    <w:name w:val="text-center"/>
    <w:basedOn w:val="Normalny"/>
    <w:rsid w:val="00A427C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64B36"/>
    <w:pPr>
      <w:ind w:left="720"/>
      <w:contextualSpacing/>
    </w:pPr>
  </w:style>
  <w:style w:type="table" w:styleId="Tabela-Siatka">
    <w:name w:val="Table Grid"/>
    <w:basedOn w:val="Standardowy"/>
    <w:uiPriority w:val="59"/>
    <w:rsid w:val="00D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A05242"/>
  </w:style>
  <w:style w:type="character" w:styleId="Uwydatnienie">
    <w:name w:val="Emphasis"/>
    <w:basedOn w:val="Domylnaczcionkaakapitu"/>
    <w:uiPriority w:val="20"/>
    <w:qFormat/>
    <w:rsid w:val="00DB6C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E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C4755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C4755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9574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574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9574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9574A"/>
    <w:rPr>
      <w:rFonts w:eastAsia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74A"/>
    <w:rPr>
      <w:color w:val="0000FF"/>
      <w:u w:val="single"/>
    </w:rPr>
  </w:style>
  <w:style w:type="paragraph" w:customStyle="1" w:styleId="wazne">
    <w:name w:val="wazne"/>
    <w:basedOn w:val="Normalny"/>
    <w:rsid w:val="0069574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g-binding">
    <w:name w:val="ng-binding"/>
    <w:basedOn w:val="Domylnaczcionkaakapitu"/>
    <w:rsid w:val="003F502D"/>
  </w:style>
  <w:style w:type="character" w:customStyle="1" w:styleId="alb">
    <w:name w:val="a_lb"/>
    <w:basedOn w:val="Domylnaczcionkaakapitu"/>
    <w:rsid w:val="00755609"/>
  </w:style>
  <w:style w:type="character" w:customStyle="1" w:styleId="alb-s">
    <w:name w:val="a_lb-s"/>
    <w:basedOn w:val="Domylnaczcionkaakapitu"/>
    <w:rsid w:val="00755609"/>
  </w:style>
  <w:style w:type="character" w:customStyle="1" w:styleId="text-justify">
    <w:name w:val="text-justify"/>
    <w:basedOn w:val="Domylnaczcionkaakapitu"/>
    <w:rsid w:val="00FE207C"/>
  </w:style>
  <w:style w:type="paragraph" w:customStyle="1" w:styleId="text-center">
    <w:name w:val="text-center"/>
    <w:basedOn w:val="Normalny"/>
    <w:rsid w:val="00A427C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64B36"/>
    <w:pPr>
      <w:ind w:left="720"/>
      <w:contextualSpacing/>
    </w:pPr>
  </w:style>
  <w:style w:type="table" w:styleId="Tabela-Siatka">
    <w:name w:val="Table Grid"/>
    <w:basedOn w:val="Standardowy"/>
    <w:uiPriority w:val="59"/>
    <w:rsid w:val="00D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A05242"/>
  </w:style>
  <w:style w:type="character" w:styleId="Uwydatnienie">
    <w:name w:val="Emphasis"/>
    <w:basedOn w:val="Domylnaczcionkaakapitu"/>
    <w:uiPriority w:val="20"/>
    <w:qFormat/>
    <w:rsid w:val="00DB6C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E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C4755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C4755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C1AE-B477-48CB-8ED7-A0DF469D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3320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Straśko</dc:creator>
  <cp:lastModifiedBy>Anna Straśko</cp:lastModifiedBy>
  <cp:revision>6</cp:revision>
  <cp:lastPrinted>2018-12-17T12:43:00Z</cp:lastPrinted>
  <dcterms:created xsi:type="dcterms:W3CDTF">2018-12-10T09:24:00Z</dcterms:created>
  <dcterms:modified xsi:type="dcterms:W3CDTF">2018-12-17T12:48:00Z</dcterms:modified>
</cp:coreProperties>
</file>